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82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19, 2026</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REAL ASSET ACQUISITION CORP.</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001-42613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174 Nassau Street,</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Suite 2100</w:t>
            </w:r>
          </w:p>
        </w:tc>
        <w:tc>
          <w:tcPr>
            <w:tcW w:w="2820" w:type="dxa"/>
            <w:vAlign w:val="bottom"/>
          </w:tcPr>
          <w:p>
            <w:pPr>
              <w:spacing w:after="0"/>
              <w:rPr>
                <w:sz w:val="18"/>
                <w:szCs w:val="18"/>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Princeton, New Jersey 08542</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(609) 924-0759</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22"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Units, each consisting of one Class A ordinary</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RAAQU</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share, $0.0001 par value, and one-half of one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redeemable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RAAQ</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38"/>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redeemable</w:t>
            </w:r>
          </w:p>
        </w:tc>
        <w:tc>
          <w:tcPr>
            <w:tcW w:w="3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RAAQW</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warrant exercisable for one Class A ordinary share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at an exercise price of $11.50 per share</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announced, on February 22, 2026, Real Asset Acquisition Corp., a Cayman Islands exempted company (“RAAQ”), IQM Quantum Computers Oy (f/k/a IQM Finland Oy), a limited liability company (Fi. osakeyhtiö) incorporated under the laws of Finland (“IQM”), IQM US LLC, a Delaware limited liability company and an indirect wholly owned subsidiary of IQM, and Eclipse QC S.à r.l., a Luxembourg private limited liability company (société à responsabilité limitée) and a direct wholly owned subsidiary of IQM, entered into a business combination agreement (the “Business Combination Agreement”), for a business combination transaction that will result in IQM becoming a publicly traded company (the “Transaction”).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19, 2026, IQM issued a press release (the “Press Release”) announcing, among other things, the appointment of Dr. Craig Ciesla as Chief Technology Officer and the transition of Dr. Inés de Vega to Chief Scientist. A copy of the Press Release is filed herewith as Exhibit 99.1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 and Where to Find It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Registration Statement was declared effective by the SEC on June 5, 2026 and RAAQ mailed the definitive proxy statement/prospectus relating to the proposed Transaction to its shareholders as of June 3, 2026, the record date for voting at the extraordinary general meeting of RAAQ’s shareholders to be held in connection with the Transaction (the “Extraordinary General Meeting”). The Registration Statement and the definitive proxy statement/prospectus contain important information about the Transaction and the other matters to be voted upon at the Extraordinary General Meeting. This Current Report on Form 8-K (this “Current Report”) does not contain all the information that should be considered concerning the proposed business combination and is not intended to provide the basis for any investment decision or any other decision in respect of such matters. RAAQ and IQM may also file other documents with the SEC regarding the Transaction. RAAQ’s shareholders and other interested persons are advised to read the Registration Statement, the definitive proxy statement/prospectus and other documents filed in connection with the Transaction, as these materials contain important information about RAAQ, IQM and the Transaction. Shareholders may obtain copies of the Registration Statement, the definitive proxy statement/prospectus, and the other documents filed or that will be filed by RAAQ and IQM with the SEC, without charge, at the SEC’s website located at www.sec.gov.</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RAAQ, IQM and certain of their respective directors, executive officers and other members of management and employees may, under SEC rules, be deemed to be participants in the solicitation of proxies from RAAQ’s shareholders in connection with the Transaction. Information regarding the persons who may, under SEC rules, be deemed participants in the solicitation of RAAQ’s shareholders in connection with the Transaction are set forth in the Registration Statement and the definitive proxy statement/prospectus filed with the SEC. Shareholders, potential investors, and other interested persons should read the Registration Statement and the definitive proxy statement/prospectus carefully before making any voting or investment decisions. You may obtain free copies of these documents from the sources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includes “forward-looking statements” within the meaning of the U.S. federal securities laws and “forward-looking information” within the meaning of applicable non-U.S.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These forward-looking statements are based upon current estimates and assumptions that, while considered reasonable by IQM and its management, and RAAQ and its management, as the case may be, are inherently uncertain. These statements include: projections of market opportunity and market share; estimates of customer adoption rates and usage patterns; projections regarding IQM’s ability to commercialize new products and technologies; projections of development and commercialization costs and timelines; expectations regarding IQM’s ability to execute its business model and the expected financial benefits of such model; expectations regarding IQM’s ability to attract, retain and expand its customer base; IQM’s deployment of proceeds from capital raising transactions; IQM’s expectations concerning relationships with strategic partners, suppliers, governments, state-funded entities, regulatory bodies and other third parties; IQM’s ability to maintain, protect and enhance its intellectual property; future ventures or investments in companies, products, services or technologies; development of favorable regulations affecting IQM’s markets; the successful consummation and potential benefits of the proposed business combination and expectations related to its terms and timing; the stock exchanges on which the securities of the combined company are expected to trade; proceeds from the business combination and related PIPE; funds received by the combined company from RAAQ’s trust account and redemptions by RAAQ’s public shareholders; IQM’s ability to commercialize its hardware and software; the expectation that IQM is building the sovereign infrastructure that allows quantum ecosystems to grow; and the potential for IQM to increase in value.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IQM and RAAQ.</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the actual results of the combined company following the proposed Transaction, levels of activity, performance, or achievements to be materially different from any future results, levels of activity, performance or achievements expressed or implied by such statements. Such risks and uncertainties include: that IQM is pursuing an emerging technology, which faces significant technical challenges and may not achieve commercialization or market acceptance; IQM’s historical net losses and limited operating history; IQM’s expectations regarding future financial performance, capital requirements and unit economics; IQM’s use and reporting of business and operational metrics; IQM’s competitive landscape; IQM’s dependence on members of its senior management and its ability to attract and retain qualified personnel; the potential need for additional future financing; IQM’s concentration of revenue in contracts with government or state-funded entities; IQM’s ability to manage growth and expand its operations; potential future acquisitions or investments in companies, products, services or technologies; IQM’s reliance on strategic partners and other third parties; IQM’s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possibility that required shareholder and regulatory approvals for the proposed Transaction are delayed or are not obtained, which could adversely affect the combined company or the expected benefits of the proposed Transaction; the risk that shareholders of RAAQ could elect to have their shares redeemed, leaving the combined company with insufficient cash to execute its business plans; the occurrence of any event, change or other circumstance that could give rise to the termination of the Business Combination Agreement; the outcome of any legal proceedings or government investigations that may be commenced against IQM or RAAQ; failure to realize the anticipated benefits of the proposed Transaction; the ability of IQM or the combined company to issue equity or equity-linked securities in connection with the proposed Transaction or in the future; and other factors described in the Registration Statement and RAAQ’s and IQM’s other filings with the SEC.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IQM, RAAQ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IQM’s and RAAQ’s management as of the date of this Current Report; subsequent events and developments may cause their assessments to change. While IQM and RAAQ may elect to update these forward-looking statements at some point in the future, they specifically disclaim any obligation to do so, unless required by applicable securities laws. Accordingly, undue reliance should not be placed upon these statements.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Current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An investment in RAAQ is not an investment in any of RAAQ’s founders’ or sponsors past investments, companies, or affiliated funds. The historical results of those investments are not indicative of future performance of RAAQ, which may differ materially from the performance of RAAQ’s founders’ or sponsors past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including any European Economic Area member state or the United Kingdom. This Current Report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Any potential dual listing of IQM’s ordinary shares on the Helsinki stock exchange referred to in this Current Report would be made by means of a prospectus as set out in the EU Prospectus Regulation.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6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6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560" w:type="dxa"/>
            <w:vAlign w:val="bottom"/>
          </w:tcPr>
          <w:p>
            <w:pPr>
              <w:spacing w:after="0"/>
              <w:rPr>
                <w:sz w:val="21"/>
                <w:szCs w:val="21"/>
                <w:color w:val="auto"/>
              </w:rPr>
            </w:pPr>
          </w:p>
        </w:tc>
        <w:tc>
          <w:tcPr>
            <w:tcW w:w="7540" w:type="dxa"/>
            <w:vAlign w:val="bottom"/>
          </w:tcPr>
          <w:p>
            <w:pPr>
              <w:jc w:val="right"/>
              <w:ind w:right="451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June 19, 2026.</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754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4"/>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70"/>
              <w:spacing w:after="0"/>
              <w:rPr>
                <w:sz w:val="20"/>
                <w:szCs w:val="20"/>
                <w:color w:val="auto"/>
              </w:rPr>
            </w:pPr>
            <w:r>
              <w:rPr>
                <w:rFonts w:ascii="Times New Roman" w:cs="Times New Roman" w:eastAsia="Times New Roman" w:hAnsi="Times New Roman"/>
                <w:sz w:val="22"/>
                <w:szCs w:val="22"/>
                <w:color w:val="auto"/>
              </w:rPr>
              <w:t>3</w:t>
            </w: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June 22, 2026</w:t>
            </w:r>
          </w:p>
        </w:tc>
        <w:tc>
          <w:tcPr>
            <w:tcW w:w="710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REAL ASSET ACQUISITION CORP.</w:t>
            </w:r>
          </w:p>
        </w:tc>
      </w:tr>
      <w:tr>
        <w:trPr>
          <w:trHeight w:val="439"/>
        </w:trPr>
        <w:tc>
          <w:tcPr>
            <w:tcW w:w="4140" w:type="dxa"/>
            <w:vAlign w:val="bottom"/>
          </w:tcPr>
          <w:p>
            <w:pPr>
              <w:spacing w:after="0"/>
              <w:rPr>
                <w:sz w:val="24"/>
                <w:szCs w:val="24"/>
                <w:color w:val="auto"/>
              </w:rPr>
            </w:pPr>
          </w:p>
        </w:tc>
        <w:tc>
          <w:tcPr>
            <w:tcW w:w="7100" w:type="dxa"/>
            <w:vAlign w:val="bottom"/>
            <w:gridSpan w:val="3"/>
          </w:tcPr>
          <w:p>
            <w:pPr>
              <w:ind w:left="2620"/>
              <w:spacing w:after="0"/>
              <w:rPr>
                <w:sz w:val="20"/>
                <w:szCs w:val="20"/>
                <w:color w:val="auto"/>
              </w:rPr>
            </w:pPr>
            <w:r>
              <w:rPr>
                <w:rFonts w:ascii="Times New Roman" w:cs="Times New Roman" w:eastAsia="Times New Roman" w:hAnsi="Times New Roman"/>
                <w:sz w:val="18"/>
                <w:szCs w:val="18"/>
                <w:color w:val="auto"/>
              </w:rPr>
              <w:t>By:  /s/ Peter Ort</w:t>
            </w:r>
          </w:p>
        </w:tc>
      </w:tr>
      <w:tr>
        <w:trPr>
          <w:trHeight w:val="198"/>
        </w:trPr>
        <w:tc>
          <w:tcPr>
            <w:tcW w:w="41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top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Peter Ort</w:t>
            </w:r>
          </w:p>
        </w:tc>
      </w:tr>
      <w:tr>
        <w:trPr>
          <w:trHeight w:val="234"/>
        </w:trPr>
        <w:tc>
          <w:tcPr>
            <w:tcW w:w="4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 and Co-Chairman</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IQM Appoints Craig Ciesla, Former Illumina VP, as CTO; Inés de Vega Becomes Chief Scientist</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Ciesla is a seasoned deep tech executive with more than 25 years of experience delivering products across industries — from startups to Fortune 500 companies.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Vega brings more than 20 years of experience advancing quantum technologies from fundamental research to intellectual property and industrial applications.</w:t>
      </w:r>
    </w:p>
    <w:p>
      <w:pPr>
        <w:spacing w:after="0" w:line="15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Espoo, Finland / Munich, Germany, 19 June 2026 </w:t>
      </w:r>
      <w:r>
        <w:rPr>
          <w:rFonts w:ascii="Times New Roman" w:cs="Times New Roman" w:eastAsia="Times New Roman" w:hAnsi="Times New Roman"/>
          <w:sz w:val="18"/>
          <w:szCs w:val="18"/>
          <w:color w:val="auto"/>
        </w:rPr>
        <w:t>– IQM Quantum Computers, the global leader in superconducting quantum computers,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appointments of Dr. Craig Ciesla as Chief Technology Officer (CTO) and Dr. Inés de Vega as Chief Scientist, as she transitions from her role as Vice President of Quantum Solutions, deepening IQM´s leadership as the company prepares for its planned Nasdaq listing through a merger with Real Asset Acquisition Corp. (Nasdaq: RAAQ).</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Ciesla, an experienced deep tech executive with more than 25 years delivering products across multiple industries from startups to Fortune 500 companies, will advance IQM’s technology strategy and drive its implementation into systems and products. De Vega, meanwhile, will be responsible for ensuring scientific feasibility and system-level consistency across IQM’s technology.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“Ciesla’s track record of scaling complex instrumentation platforms and building world-class R&amp;D organizations makes him an exceptional addition to our leadership team,” said Jan Goetz, CEO and Co-founder of IQM Quantum Computers. “As we accelerate our path toward fault-tolerant quantum computing, his experience integrating hardware and software systems at scale will be invaluable. I also want to thank Inés for her outstanding contributions over the years, and I am pleased she will continue to shape our technology roadmap in her new role.”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Ciesla is an accomplished innovator and product development leader with a proven track record and is an inventor of more than 100 patents and patent applications. He most recently served as Vice President of Engineering at 10x Genomics (Nasdaq: TXG) and previously held leadership roles at companies including Illumina (Nasdaq: ILMN) Lumentum (formerly Nasdaq: JDSU), Intel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Nasdaq: INTC), and Tactus Technology.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 also has significant board experience, serving on the Board of Directors of Lightwave Logic, Inc., (Nasdaq: LWLG) complemented by an academic background that includes a PhD in Physics from Heriot-Watt University.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“IQM has established itself as an industry leader in quantum computing through a combination of technological excellence, real-world deployments, and disciplined execution. What attracted me to the company is its commitment to building production-grade quantum systems that customers can own, operate, and build value on — not just promises of what quantum could one day do,” said Craig Ciesla.</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appointments come as IQM continues to scale its technology roadmap and operations as a fully vertically integrated quantum computing company — operating its own chip factory and assembly line, and having sold 23 quantum computers to date, more than any other manufacturer.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years, I have seen first-hand how IQM has evolved from an ambitious deep-tech venture into a company delivering quantum computers to some of the world’s leading research institutions and supercomputing centers,” said De Vega. “I look forward to further contributing to the company’s growth trajectory.”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Throughout her career, she has led a team responsible for developing and implementing quantum algorithms across a wide range of quantum computing applications, while developing advanced tools to tackle errors in quantum computers.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she has been a researcher in several academic institutions, such as the Max Planck of Quantum Optics, the University of Ulm, and the Ludwig Maximilian University of Munich, where she is currently associated to the department of Theoretical Nanophysics.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IQM is nearing its Nasdaq listing through a planned merger with Real Asset Acquisition Corp. (Nasdaq: RAAQ). The transaction has gained momentum since February, with an upsized PIPE of $146 million in early June after Finnish pension insurer Ilmarinen joined existing institutional investors.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IQM Quantum Computers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IQM Quantum Computers is a global leader in superconducting quantum computers, delivering full-stack quantum computers and cloud platform access to research institutions, universities, high-performance computing centers, national laboratories and enterprises worldwide. IQM’s on-premises deployment model gives customers direct ownership and control of their quantum infrastructure. Founded in 2018, headquartered in Finland with major operations in Munich, it has over 400 employees. IQM operates across Europe, Asia, and North America. IQM filed an F-4 registration statement with the SEC, which has since been declared effective, with the intention to become the first publicly listed European quantum company on Nasdaq Global Exchange in the U.S by merging with Real Asset Acquisition Corp. (Nasdaq: RAAQ).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IQM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press@meetiqm.com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+358 (0) 50 479 0845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2026-06-22T05:39:40Z</dcterms:created>
  <dcterms:modified xsi:type="dcterms:W3CDTF">2026-06-22T05:39:40Z</dcterms:modified>
</cp:coreProperties>
</file>