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5063-8k425_real.htm"/>
      <w:bookmarkStart w:id="1" w:name="ksea02950638k425_real"/>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June 17,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 ASSET ACQUISITION CORP.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r>
              <w:rPr>
                <w:b/>
                <w:sz w:val="20"/>
              </w:rPr>
              <w:t>Cayman Islands</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r>
              <w:rPr>
                <w:b/>
                <w:sz w:val="20"/>
              </w:rPr>
              <w:t>001-42613</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r>
              <w:rPr>
                <w:b/>
                <w:sz w:val="20"/>
              </w:rPr>
              <w:t>N/A</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174 Nassau Street,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2100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Princeton, New Jersey 08542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(609) 924-0759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450"/>
        <w:gridCol w:w="60"/>
        <w:gridCol w:w="1212"/>
        <w:gridCol w:w="60"/>
        <w:gridCol w:w="2423"/>
      </w:tblGrid>
      <w:tr>
        <w:trPr/>
        <w:tc>
          <w:tcPr>
            <w:tcW w:w="64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21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42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64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Units, each consisting of one Class A ordinary share, $0.0001 par value, and one-half of one redeemable warrant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1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RAAQU</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42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r>
        <w:trPr/>
        <w:tc>
          <w:tcPr>
            <w:tcW w:w="64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Class A ordinary shares, par value $0.0001 per share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1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RAAQ</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42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r>
        <w:trPr/>
        <w:tc>
          <w:tcPr>
            <w:tcW w:w="64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Redeemable warrants, each whole redeemable warrant exercisable for one Class A ordinary share at an exercise price of $11.50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1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RAAQW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42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February 22, 2026, Real Asset Acquisition Corp., a Cayman Islands exempted company (“RAAQ”), IQM Quantum Computers Oy (f/k/a IQM Finland Oy), a limited liability company (Fi. osakeyhtiö) incorporated under the laws of Finland (“IQM”), IQM US LLC, a Delaware limited liability company and an indirect wholly owned subsidiary of IQM, and Eclipse QC S.à r.l., a Luxembourg private limited liability company (société à responsabilité limitée) and a direct wholly owned subsidiary of IQM, entered into a business combination agreement (the “Business Combination Agreement”), for a business combination transaction that will result in IQM becoming a publicly traded company (the “Transaction”).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2026, IQM issued a press release (the “Press Release”) announcing, among other things, the availability of IQM’s Capital Markets Day Presentation. A copy of the Press Release is filed herewith as Exhibit 99.1 and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Proposed Transaction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was declared effective by the SEC on June 5, 2026 and RAAQ mailed the definitive proxy statement/prospectus relating to the proposed Transaction to its shareholders as of June 3, 2026, the record date for voting at the extraordinary general meeting of RAAQ’s shareholders to be held in connection with the Transaction (the “Extraordinary General Meeting”). The Registration Statement and the definitive proxy statement/prospectus contain important information about the Transaction and the other matters to be voted upon at the Extraordinary General Meeting. This Current Report on Form 8-K (this “Current Report”) does not contain all the information that should be considered concerning the proposed business combination and is not intended to provide the basis for any investment decision or any other decision in respect of such matters. RAAQ and IQM may also file other documents with the SEC regarding the Transaction. RAAQ’s shareholders and other interested persons are advised to read the Registration Statement, the definitive proxy statement/prospectus and other documents filed in connection with the Transaction, as these materials contain important information about RAAQ, IQM and the Transaction. Shareholders may obtain copies of the Registration Statement, the definitive proxy statement/prospectus, and the other documents filed or that will be filed by RAAQ and IQM with the SEC, without charge, at the SEC’s website located at 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RAAQ, IQM and certain of their respective directors, executive officers and other members of management and employees may, under SEC rules, be deemed to be participants in the solicitation of proxies from RAAQ’s shareholders in connection with the Transaction. Information regarding the persons who may, under SEC rules, be deemed participants in the solicitation of RAAQ’s shareholders in connection with the Transaction are set forth in the Registration Statement and the definitive proxy statement/prospectus filed with the SEC. Shareholders, potential investors, and other interested persons should read the Registration Statement and the definitive proxy statement/prospectus carefully before making any voting or investment decisions. You may obtain free copies of these documents from the sources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includes “forward-looking statements” within the meaning of the U.S. federal securities laws and “forward-looking information” within the meaning of applicable non-U.S. securities laws (collectively, “forward-looking statements”). Forward-looking statements may be identified by the use of words such as “estimate,” “plan,” “project,” “forecast,” “intend,” “will,” “expect,” “anticipate,” “believe,” “seek,” “target,” “continue,” “could,” “may,” “might,” “possible,” “potential,” “predict” or similar expressions that predict or indicate future events or trends or that are not statements of historical matters. These forward-looking statements are based upon current estimates and assumptions that, while considered reasonable by IQM and its management, and RAAQ and its management, as the case may be, are inherently uncertain. These statements include: projections of market opportunity and market share; estimates of customer adoption rates and usage patterns; projections regarding IQM’s ability to commercialize new products and technologies; projections of development and commercialization costs and timelines; expectations regarding IQM’s ability to execute its business model and the expected financial benefits of such model; expectations regarding IQM’s ability to attract, retain and expand its customer base; IQM’s deployment of proceeds from capital raising transactions; IQM’s expectations concerning relationships with strategic partners, suppliers, governments, state-funded entities, regulatory bodies and other third parties; IQM’s ability to maintain, protect and enhance its intellectual property; future ventures or investments in companies, products, services or technologies; development of favorable regulations affecting IQM’s markets; the successful consummation and potential benefits of the proposed business combination and expectations related to its terms and timing; the stock exchanges on which the securities of the combined company are expected to trade; proceeds from the business combination and related PIPE; funds received by the combined company from RAAQ’s trust account and redemptions by RAAQ’s public shareholders; IQM’s ability to commercialize its hardware and software; the expectation that IQM is building the sovereign infrastructure that allows quantum ecosystems to grow; and the potential for IQM to increase in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IQM and RAAQ.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known and unknown risks, uncertainties and assumptions that may cause the actual results of the combined company following the proposed Transaction, levels of activity, performance, or achievements to be materially different from any future results, levels of activity, performance or achievements expressed or implied by such statements. Such risks and uncertainties include: that IQM is pursuing an emerging technology, which faces significant technical challenges and may not achieve commercialization or market acceptance; IQM’s historical net losses and limited operating history; IQM’s expectations regarding future financial performance, capital requirements and unit economics; IQM’s use and reporting of business and operational metrics; IQM’s competitive landscape; IQM’s dependence on members of its senior management and its ability to attract and retain qualified personnel; the potential need for additional future financing; IQM’s concentration of revenue in contracts with government or state-funded entities; IQM’s ability to manage growth and expand its operations; potential future acquisitions or investments in companies, products, services or technologies; IQM’s reliance on strategic partners and other third parties; IQM’s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the combined company’s ability to maintain internal control over financial reporting and operate a public company; the possibility that required shareholder and regulatory approvals for the proposed Transaction are delayed or are not obtained, which could adversely affect the combined company or the expected benefits of the proposed Transaction; the risk that shareholders of RAAQ could elect to have their shares redeemed, leaving the combined company with insufficient cash to execute its business plans; the occurrence of any event, change or other circumstance that could give rise to the termination of the Business Combination Agreement; the outcome of any legal proceedings or government investigations that may be commenced against IQM or RAAQ; failure to realize the anticipated benefits of the proposed Transaction; the ability of IQM or the combined company to issue equity or equity-linked securities in connection with the proposed Transaction or in the future; and other factors described in the Registration Statement and RAAQ’s and IQM’s other filings with the SEC. These forward-looking statements are based on certain assumptions, including that none of the risks identified above materialize; that there are no unforeseen changes to economic and market conditions, and that no significant events occur outside the ordinary course of business. Additional information concerning these and other factors that may impact such forward-looking statements can be found in filings and potential filings by IQM, RAAQ or the combined company resulting from the proposed Transaction with the SEC,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IQM’s and RAAQ’s management as of the date of this Current Report; subsequent events and developments may cause their assessments to change. While IQM and RAAQ may elect to update these forward-looking statements at some point in the future, they specifically disclaim any obligation to do so, unless required by applicable securities laws. Accordingly, undue reliance should not be placed upon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Current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An investment in RAAQ is not an investment in any of RAAQ’s founders’ or sponsors past investments, companies, or affiliated funds. The historical results of those investments are not indicative of future performance of RAAQ, which may differ materially from the performance of RAAQ’s founders’ or sponsors past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including any European Economic Area member state or the United Kingdom. This Current Report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of 1933, as amended, or exemptions therefrom. Any potential dual listing of IQM’s ordinary shares on the Helsinki stock exchange referred to in this Current Report would be made by means of a prospectus as set out in the EU Prospectus Regulation.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28" w:type="dxa"/>
          <w:right w:w="0" w:type="dxa"/>
        </w:tblCellMar>
      </w:tblPr>
      <w:tblGrid>
        <w:gridCol w:w="725"/>
        <w:gridCol w:w="60"/>
        <w:gridCol w:w="6530"/>
      </w:tblGrid>
      <w:tr>
        <w:trPr/>
        <w:tc>
          <w:tcPr>
            <w:tcW w:w="725" w:type="dxa"/>
            <w:tcBorders>
              <w:bottom w:val="single" w:sz="12" w:space="0" w:color="000000"/>
            </w:tcBorders>
            <w:vAlign w:val="center"/>
          </w:tcPr>
          <w:p>
            <w:pPr>
              <w:pStyle w:val="TableContents"/>
              <w:bidi w:val="0"/>
              <w:jc w:val="left"/>
              <w:rPr>
                <w:b/>
                <w:sz w:val="20"/>
              </w:rPr>
            </w:pPr>
            <w:r>
              <w:rPr>
                <w:b/>
                <w:sz w:val="20"/>
              </w:rPr>
              <w:t>Exhibit</w:t>
            </w:r>
          </w:p>
          <w:p>
            <w:pPr>
              <w:pStyle w:val="TableContents"/>
              <w:bidi w:val="0"/>
              <w:spacing w:before="0" w:after="283"/>
              <w:jc w:val="left"/>
              <w:rPr>
                <w:b/>
                <w:sz w:val="20"/>
              </w:rPr>
            </w:pPr>
            <w:r>
              <w:rPr>
                <w:b/>
                <w:sz w:val="20"/>
              </w:rPr>
              <w:t>Number</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left"/>
              <w:rPr/>
            </w:pPr>
            <w:hyperlink w:anchor="ea029506301ex99-1.htm">
              <w:r>
                <w:rPr>
                  <w:rStyle w:val="InternetLink"/>
                  <w:sz w:val="20"/>
                </w:rPr>
                <w:t>Press Release, dated June 17, 2026.</w:t>
              </w:r>
            </w:hyperlink>
          </w:p>
        </w:tc>
      </w:tr>
      <w:tr>
        <w:trPr/>
        <w:tc>
          <w:tcPr>
            <w:tcW w:w="72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440" w:type="dxa"/>
        <w:jc w:val="left"/>
        <w:tblInd w:w="0" w:type="dxa"/>
        <w:tblLayout w:type="fixed"/>
        <w:tblCellMar>
          <w:top w:w="0" w:type="dxa"/>
          <w:left w:w="0" w:type="dxa"/>
          <w:bottom w:w="0" w:type="dxa"/>
          <w:right w:w="0" w:type="dxa"/>
        </w:tblCellMar>
      </w:tblPr>
      <w:tblGrid>
        <w:gridCol w:w="1760"/>
        <w:gridCol w:w="320"/>
        <w:gridCol w:w="635"/>
        <w:gridCol w:w="3725"/>
      </w:tblGrid>
      <w:tr>
        <w:trPr/>
        <w:tc>
          <w:tcPr>
            <w:tcW w:w="1760" w:type="dxa"/>
            <w:tcBorders/>
            <w:vAlign w:val="center"/>
          </w:tcPr>
          <w:p>
            <w:pPr>
              <w:pStyle w:val="TableContents"/>
              <w:bidi w:val="0"/>
              <w:spacing w:before="0" w:after="283"/>
              <w:jc w:val="left"/>
              <w:rPr>
                <w:sz w:val="20"/>
              </w:rPr>
            </w:pPr>
            <w:r>
              <w:rPr>
                <w:sz w:val="20"/>
              </w:rPr>
              <w:t>Dated: June 17, 2026</w:t>
            </w:r>
          </w:p>
        </w:tc>
        <w:tc>
          <w:tcPr>
            <w:tcW w:w="4680" w:type="dxa"/>
            <w:gridSpan w:val="3"/>
            <w:tcBorders/>
            <w:vAlign w:val="center"/>
          </w:tcPr>
          <w:p>
            <w:pPr>
              <w:pStyle w:val="TableContents"/>
              <w:bidi w:val="0"/>
              <w:spacing w:before="0" w:after="283"/>
              <w:jc w:val="left"/>
              <w:rPr>
                <w:b/>
                <w:sz w:val="20"/>
              </w:rPr>
            </w:pPr>
            <w:r>
              <w:rPr>
                <w:b/>
                <w:sz w:val="20"/>
              </w:rPr>
              <w:t>REAL ASSET ACQUISITION CORP.</w:t>
            </w:r>
          </w:p>
        </w:tc>
      </w:tr>
      <w:tr>
        <w:trPr/>
        <w:tc>
          <w:tcPr>
            <w:tcW w:w="1760" w:type="dxa"/>
            <w:tcBorders/>
            <w:vAlign w:val="center"/>
          </w:tcPr>
          <w:p>
            <w:pPr>
              <w:pStyle w:val="TableContents"/>
              <w:bidi w:val="0"/>
              <w:spacing w:before="0" w:after="283"/>
              <w:jc w:val="left"/>
              <w:rPr/>
            </w:pPr>
            <w:r>
              <w:rPr/>
              <w:t> </w:t>
            </w:r>
          </w:p>
        </w:tc>
        <w:tc>
          <w:tcPr>
            <w:tcW w:w="4680" w:type="dxa"/>
            <w:gridSpan w:val="3"/>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36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Peter Ort</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3725" w:type="dxa"/>
            <w:tcBorders/>
            <w:vAlign w:val="center"/>
          </w:tcPr>
          <w:p>
            <w:pPr>
              <w:pStyle w:val="TableContents"/>
              <w:bidi w:val="0"/>
              <w:spacing w:before="0" w:after="283"/>
              <w:jc w:val="left"/>
              <w:rPr>
                <w:sz w:val="20"/>
              </w:rPr>
            </w:pPr>
            <w:r>
              <w:rPr>
                <w:sz w:val="20"/>
              </w:rPr>
              <w:t>Peter Ort</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3725" w:type="dxa"/>
            <w:tcBorders/>
            <w:vAlign w:val="center"/>
          </w:tcPr>
          <w:p>
            <w:pPr>
              <w:pStyle w:val="TableContents"/>
              <w:bidi w:val="0"/>
              <w:spacing w:before="0" w:after="283"/>
              <w:jc w:val="left"/>
              <w:rPr>
                <w:sz w:val="20"/>
              </w:rPr>
            </w:pPr>
            <w:r>
              <w:rPr>
                <w:sz w:val="20"/>
              </w:rPr>
              <w:t>Principal Executive Officer and Co-Chairman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shd w:fill="FFFFFF" w:val="clear"/>
        </w:rPr>
      </w:pPr>
      <w:bookmarkStart w:id="2" w:name="ea029506301ex99-1.htm"/>
      <w:bookmarkStart w:id="3" w:name="ksea029506301ex991"/>
      <w:bookmarkEnd w:id="2"/>
      <w:bookmarkEnd w:id="3"/>
      <w:r>
        <w:rPr>
          <w:rFonts w:ascii="Times New Roman;Times;Serif" w:hAnsi="Times New Roman;Times;Serif"/>
          <w:b/>
          <w:i w:val="false"/>
          <w:caps w:val="false"/>
          <w:smallCaps w:val="false"/>
          <w:sz w:val="20"/>
          <w:shd w:fill="FFFFFF" w:val="clear"/>
        </w:rPr>
        <w:t>Exhibit 99.1</w:t>
      </w:r>
      <w:r>
        <w:br w:type="page"/>
      </w:r>
    </w:p>
    <w:p>
      <w:pPr>
        <w:pStyle w:val="TextBody"/>
        <w:shd w:fill="FFFFFF" w:val="clear"/>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shd w:fill="FFFFFF" w:val="clear"/>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IQM and Real Asset Acquisition Corp. Host Inaugural Capital Markets Day for Investors and Analysts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The presentation is now available on demand, outlining IQM’s growth strategy,</w:t>
      </w:r>
    </w:p>
    <w:p>
      <w:pPr>
        <w:pStyle w:val="TextBody"/>
        <w:shd w:fill="FFFFFF" w:val="clear"/>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technology roadmap, commercial momentum, and vision for the future of quantum computing.</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PRINCETON, N.J. &amp; ESPOO, Finland </w:t>
      </w:r>
      <w:r>
        <w:rPr>
          <w:rFonts w:ascii="Times New Roman;Times;Serif" w:hAnsi="Times New Roman;Times;Serif"/>
          <w:b/>
          <w:i w:val="false"/>
          <w:caps w:val="false"/>
          <w:smallCaps w:val="false"/>
          <w:sz w:val="20"/>
          <w:shd w:fill="FFFFFF" w:val="clear"/>
        </w:rPr>
        <w:t>– June 17, 2026</w:t>
      </w:r>
      <w:r>
        <w:rPr>
          <w:rFonts w:ascii="Times New Roman;Times;Serif" w:hAnsi="Times New Roman;Times;Serif"/>
          <w:b w:val="false"/>
          <w:i w:val="false"/>
          <w:caps w:val="false"/>
          <w:smallCaps w:val="false"/>
          <w:sz w:val="20"/>
          <w:shd w:fill="FFFFFF" w:val="clear"/>
        </w:rPr>
        <w:t xml:space="preserve"> – IQM Quantum Computers Oy (f/k/a IQM Finland Oy), a global leader in full-stack superconducting quantum computers (“IQM,” “IQM Quantum Computers” or the “Company”), today announced that its Capital Markets Day presentation is now available on IQM’s investor site at </w:t>
      </w:r>
      <w:r>
        <w:rPr>
          <w:rFonts w:ascii="Times New Roman;Times;Serif" w:hAnsi="Times New Roman;Times;Serif"/>
          <w:b w:val="false"/>
          <w:i w:val="false"/>
          <w:caps w:val="false"/>
          <w:smallCaps w:val="false"/>
          <w:sz w:val="20"/>
        </w:rPr>
        <w:t>https://iqm.tech/investors/ir/IQM-CapitalMarketDay-2026.pdf</w:t>
      </w:r>
      <w:r>
        <w:rPr>
          <w:rFonts w:ascii="Times New Roman;Times;Serif" w:hAnsi="Times New Roman;Times;Serif"/>
          <w:b w:val="false"/>
          <w:i w:val="false"/>
          <w:caps w:val="false"/>
          <w:smallCaps w:val="false"/>
          <w:sz w:val="20"/>
          <w:shd w:fill="FFFFFF" w:val="clear"/>
        </w:rPr>
        <w:t>, following the event hosted at the Nasdaq MarketSite in New York City on June 15, 2026. The final edited webcast will be posted to and available on the Company’s investor relations website in the coming days.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Capital Markets Day featured presentations from IQM’s leadership team, providing investors, analysts, and industry stakeholders with an in-depth look at the Company’s financial highlights, business strategy, technology leadership, commercial progress, product roadmap, and long-term vision for accelerating the adoption of quantum computing globally.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Having sold 23 quantum computers to date, more than any other manufacturer, IQM management also hosted a panel discussion with quantum leaders from NVIDIA, Amazon web Services (AWS), and Cambium Ventures, a quantum-focused VC firm. The panel highlighted customer and partner use cases, market opportunities, and some of the key drivers that are helping to accelerate quantum adoption.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previously announced, IQM and RAAQ have entered into a definitive business combination agreement that is expected to result in IQM becoming a publicly traded company. Upon closing of the transaction, IQM intends to list its American Depositary Shares on the Nasdaq Global Market under the ticker symbol “IQMX,” subject to customary closing conditions and regulatory approvals. The business combination is expected to close in mid-2026. Investors interested in investing in IQM ahead of the closing can do so by purchasing shares of Nasdaq-listed Real Asset Acquisition Corp. (Nasdaq: RAAQ), a special purpose acquisition company (“RAAQ”).</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About IQM Quantum Computers</w:t>
      </w:r>
    </w:p>
    <w:p>
      <w:pPr>
        <w:pStyle w:val="TextBody"/>
        <w:shd w:fill="FFFFFF" w:val="clear"/>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IQM Quantum Computers is a global leader in superconducting quantum computers, delivering full-stack quantum systems and cloud platform access to research institutions, universities, high-performance computing centers, and national laboratories worldwide. IQM’s on-premises deployment model gives customers direct ownership and control of their quantum infrastructure. Founded in 2018 and headquartered in Finland, IQM employs more than 400 people and operates across Europe, Asia, and North America. IQM has announced plans to become the first European quantum computing company listed on a major U.S. stock exchange through its proposed business combination with RAAQ, with a potential dual listing on the Helsinki Stock Exchange also under consideration.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Real Asset Acquisition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in Princeton, NJ, RAAQ is a Nasdaq-listed special purpose acquisition company formed for the purpose of effecting a merger, share exchange, asset acquisition, share purchase, reorganization, or similar business combination with one or more businesses. The RAAQ team includes seasoned quantum computing experts with deep technical and industry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Proposed Transaction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was declared effective by the U.S. Securities and Exchange Commission (“SEC”) on June 5, 2026, and RAAQ mailed the definitive proxy statement/prospectus relating to the proposed business combination to its shareholders as of the Record Date. The Registration Statement and the definitive proxy statement/prospectus contain important information about the proposed business combination and the other matters to be voted upon at the Extraordinary General Meeting. This communication does not contain all the information that should be considered concerning the proposed business combination and is not intended to provide the basis for any investment decision or any other decision in respect of such matters. RAAQ and IQM may also file other documents with the SEC regarding the proposed business combination. RAAQ’s shareholders and other interested persons are advised to read the Registration Statement, the definitive proxy statement/prospectus and other documents filed in connection with the proposed business combination, as these materials contain important information about RAAQ, IQM and the proposed business combination. Shareholders may obtain copies of the Registration Statement, the definitive proxy statement/prospectus, and the other documents filed or that will be filed by RAAQ and IQM with the SEC, without charge, at the SEC’s website located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“forward-looking statements” within the meaning of the U.S. federal securities laws and “forward-looking information” within the meaning of applicable non-U.S. securities laws (collectively, “forward-looking statements”). Forward-looking statements may be identified by the use of words such as “estimate,” “plan,” “project,” “forecast,” “intend,” “will,” “expect,” “anticipate,” “believe,” “seek,” “target,” “continue,” “could,” “may,” “might,” “possible,” “potential,” “predict” or similar expressions that predict or indicate future events or trends or that are not statements of historical matters. These forward-looking statements are based upon current estimates and assumptions that, while considered reasonable by IQM and its management, and RAAQ and its management, as the case may be, are inherently uncertain. These statements include: the expected timing and availability of the Capital Markets Day presentation; the ability of investors to purchase shares of RAAQ ahead of the closing of the proposed business combination; the anticipated timing and consummation of the proposed business combination between IQM and RAAQ; the expected listing of IQM’s American Depositary Shares on the Nasdaq Global Market under the ticker symbol “IQMX” and any potential dual listing on the Helsinki Stock Exchange; the satisfaction of customary closing conditions and receipt of required regulatory approvals in connection with the proposed business combination; projections of market opportunity and market share for quantum computing; estimates of customer adoption rates and usage patterns; projections regarding IQM’s ability to commercialize its hardware, software, and quantum computing platforms; projections of development and commercialization costs and timelines; expectations regarding IQM’s ability to execute its business model and the expected financial benefits thereof; expectations regarding IQM’s ability to attract, retain, and expand its customer base; IQM’s deployment of proceeds from the proposed business combination and any related PIPE financing; and IQM’s expectations concerning relationships with strategic partners, including NVIDIA, Amazon’s AWS, and other industry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the Company and RAAQ.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known and unknown risks, uncertainties and assumptions that may cause the actual results of the combined company following the proposed transaction, levels of activity, performance, or achievements to be materially different from any future results, levels of activity, performance or achievements expressed or implied by such statements. Such risks and uncertainties include: that the Company is pursuing an emerging technology, which faces significant technical challenges and may not achieve commercialization or market acceptance; the Company’s historical net losses and limited operating history; the Company’s expectations regarding future financial performance, capital requirements and unit economics; the Company’s use and reporting of business and operational metrics; the Company’s competitive landscape; the Company’s dependence on members of its senior management and its ability to attract and retain qualified personnel; the potential need for additional future financing; the Company’s concentration of revenue in contracts with government or state-funded entities; the Company’s ability to manage growth and expand its operations; potential future acquisitions or investments in companies, products, services or technologies; the Company’s reliance on strategic partners and other third parties; the Company’s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the combined company’s ability to maintain internal control over financial reporting and operate a public company; the possibility that required shareholder and regulatory approvals for the proposed transaction are delayed or are not obtained, which could adversely affect the combined company or the expected benefits of the proposed transaction; the risk that shareholders of RAAQ could elect to have their shares redeemed, leaving the combined company with insufficient cash to execute its business plans; the occurrence of any event, change or other circumstance that could give rise to the termination of the business combination agreement; the outcome of any legal proceedings or government investigations that may be commenced against the Company or RAAQ; failure to realize the anticipated benefits of the proposed transaction; the ability of IQM or the combined company to issue equity or equity-linked securities in connection with the proposed transaction or in the future; and other factors described in the Registration Statement and RAAQ’s and the Company’s other filings with the SEC. These forward-looking statements are based on certain assumptions, including that none of the risks identified above materialize; that there are no unforeseen changes to economic and market conditions, and that no significant events occur outside the ordinary course of business. Additional information concerning these and other factors that may impact such forward-looking statements can be found in filings and potential filings by the Company, RAAQ or the combined company resulting from the proposed business combination with the SEC,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the Company’s and RAAQ’s management as of the date of this communication; subsequent events and developments may cause their assessments to change. While the Company and RAAQ may elect to update these forward-looking statements at some point in the future, they specifically disclaim any obligation to do so, unless required by applicable securities laws. Accordingly, undue reliance should not be placed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communication,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An investment in RAAQ is not an investment in any of RAAQ’s founders’ or sponsors past investments, companies, or affiliated funds. The historical results of those investments are not indicative of future performance of RAAQ, which may differ materially from the performance of RAAQ’s founders’ or sponsors past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RAAQ, the Company and certain of their respective directors, executive officers and other members of management and employees may, under SEC rules, be deemed to be participants in the solicitation of proxies from RAAQ’s shareholders in connection with the proposed business combination. Information regarding the persons who may, under SEC rules, be deemed participants in the solicitation of RAAQ’s shareholders in connection with the proposed business combination are set forth in the Registration Statement and the definitive proxy statement/prospectus filed with the SEC. Shareholders, potential investors, and other interested persons should read the Registration Statement and the definitive proxy statement/prospectus carefully before making any voting or investment decisions. You may obtain free copies of these documents from the sources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including any European Economic Area member state or the United Kingdom.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of 1933, as amended, or exemptions therefrom. Any potential dual listing of IQM’s ordinary shares on the Helsinki stock exchange referred to in this communication would be made by means of a prospectus as set out in the EU Prospectus Regulation.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Bruce</w:t>
        <w:br/>
      </w:r>
      <w:r>
        <w:rPr>
          <w:rFonts w:ascii="Times New Roman;Times;Serif" w:hAnsi="Times New Roman;Times;Serif"/>
          <w:b w:val="false"/>
          <w:i/>
          <w:caps w:val="false"/>
          <w:smallCaps w:val="false"/>
          <w:sz w:val="20"/>
        </w:rPr>
        <w:t>PR Manager</w:t>
        <w:br/>
      </w:r>
      <w:r>
        <w:rPr>
          <w:rFonts w:ascii="Times New Roman;Times;Serif" w:hAnsi="Times New Roman;Times;Serif"/>
          <w:b w:val="false"/>
          <w:i w:val="false"/>
          <w:caps w:val="false"/>
          <w:smallCaps w:val="false"/>
          <w:strike w:val="false"/>
          <w:dstrike w:val="false"/>
          <w:sz w:val="20"/>
          <w:u w:val="none"/>
          <w:effect w:val="none"/>
        </w:rPr>
        <w:t>press@iqm.tech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Blair Robertson</w:t>
        <w:br/>
      </w:r>
      <w:r>
        <w:rPr>
          <w:rFonts w:ascii="Times New Roman;Times;Serif" w:hAnsi="Times New Roman;Times;Serif"/>
          <w:b w:val="false"/>
          <w:i/>
          <w:caps w:val="false"/>
          <w:smallCaps w:val="false"/>
          <w:sz w:val="20"/>
        </w:rPr>
        <w:t>VP, Strategy</w:t>
        <w:br/>
      </w:r>
      <w:r>
        <w:rPr>
          <w:rFonts w:ascii="Times New Roman;Times;Serif" w:hAnsi="Times New Roman;Times;Serif"/>
          <w:b w:val="false"/>
          <w:i w:val="false"/>
          <w:caps w:val="false"/>
          <w:smallCaps w:val="false"/>
          <w:strike w:val="false"/>
          <w:dstrike w:val="false"/>
          <w:sz w:val="20"/>
          <w:u w:val="none"/>
          <w:effect w:val="none"/>
        </w:rPr>
        <w:t>ir@iqm.tech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4427</Words>
  <Characters>26033</Characters>
  <CharactersWithSpaces>30462</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