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Real Asset Acquisition Corp.</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IQM Finland Oy</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333-295867</w:t>
      </w:r>
    </w:p>
    <w:p>
      <w:pPr>
        <w:spacing w:after="0" w:line="203" w:lineRule="exact"/>
        <w:rPr>
          <w:sz w:val="24"/>
          <w:szCs w:val="24"/>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IQM Quantum Computers’ Public Debut Via Business Combination with RAAQ Gives Investors A New Way To Play The Quantum Computing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1548130</wp:posOffset>
            </wp:positionH>
            <wp:positionV relativeFrom="paragraph">
              <wp:posOffset>112395</wp:posOffset>
            </wp:positionV>
            <wp:extent cx="4011930" cy="2426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11930" cy="2426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investors search for the next major technology trend beyond AI, quantum computing is attracting growing attention for its potential to reshape industries ranging from drug discovery and transportation to cybersecurity. In fact, the technology is increasingly being seen by some as a complementary technology to AI that could grow alongside it.</w:t>
      </w:r>
    </w:p>
    <w:p>
      <w:pPr>
        <w:spacing w:after="0" w:line="176"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At the same time, when it comes to investing in the technology that makes all this possible, investors have historically focused on a small group of publicly traded quantum computing companies, assigning them multi-billion-dollar valuations. Take </w:t>
      </w:r>
      <w:r>
        <w:rPr>
          <w:rFonts w:ascii="Times New Roman" w:cs="Times New Roman" w:eastAsia="Times New Roman" w:hAnsi="Times New Roman"/>
          <w:sz w:val="18"/>
          <w:szCs w:val="18"/>
          <w:b w:val="1"/>
          <w:bCs w:val="1"/>
          <w:color w:val="auto"/>
        </w:rPr>
        <w:t>IonQ Inc.</w:t>
      </w:r>
      <w:r>
        <w:rPr>
          <w:rFonts w:ascii="Times New Roman" w:cs="Times New Roman" w:eastAsia="Times New Roman" w:hAnsi="Times New Roman"/>
          <w:sz w:val="18"/>
          <w:szCs w:val="18"/>
          <w:color w:val="auto"/>
        </w:rPr>
        <w:t xml:space="preserve"> (NYSE: IONQ) as one example. It has a market cap of about $21 billion. Meanwhile, </w:t>
      </w:r>
      <w:r>
        <w:rPr>
          <w:rFonts w:ascii="Times New Roman" w:cs="Times New Roman" w:eastAsia="Times New Roman" w:hAnsi="Times New Roman"/>
          <w:sz w:val="18"/>
          <w:szCs w:val="18"/>
          <w:b w:val="1"/>
          <w:bCs w:val="1"/>
          <w:color w:val="auto"/>
        </w:rPr>
        <w:t>Rigetti Computing Inc.</w:t>
      </w:r>
      <w:r>
        <w:rPr>
          <w:rFonts w:ascii="Times New Roman" w:cs="Times New Roman" w:eastAsia="Times New Roman" w:hAnsi="Times New Roman"/>
          <w:sz w:val="18"/>
          <w:szCs w:val="18"/>
          <w:color w:val="auto"/>
        </w:rPr>
        <w:t xml:space="preserve"> (NASDAQ: RGTI) sports a market cap of around $7 billion. However, there are also players in the space that haven’t tapped the public markets yet.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Move Over Big Caps</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One such player is </w:t>
      </w:r>
      <w:r>
        <w:rPr>
          <w:rFonts w:ascii="Times New Roman" w:cs="Times New Roman" w:eastAsia="Times New Roman" w:hAnsi="Times New Roman"/>
          <w:sz w:val="18"/>
          <w:szCs w:val="18"/>
          <w:b w:val="1"/>
          <w:bCs w:val="1"/>
          <w:color w:val="auto"/>
        </w:rPr>
        <w:t>IQM Quantum Computers</w:t>
      </w:r>
      <w:r>
        <w:rPr>
          <w:rFonts w:ascii="Times New Roman" w:cs="Times New Roman" w:eastAsia="Times New Roman" w:hAnsi="Times New Roman"/>
          <w:sz w:val="18"/>
          <w:szCs w:val="18"/>
          <w:color w:val="auto"/>
        </w:rPr>
        <w:t xml:space="preserve">, the European quantum computing company, which plans to list publicly soon through a SPAC merger with </w:t>
      </w:r>
      <w:r>
        <w:rPr>
          <w:rFonts w:ascii="Times New Roman" w:cs="Times New Roman" w:eastAsia="Times New Roman" w:hAnsi="Times New Roman"/>
          <w:sz w:val="18"/>
          <w:szCs w:val="18"/>
          <w:b w:val="1"/>
          <w:bCs w:val="1"/>
          <w:color w:val="auto"/>
        </w:rPr>
        <w:t xml:space="preserve">Real Asset Acquisition Corp. </w:t>
      </w:r>
      <w:r>
        <w:rPr>
          <w:rFonts w:ascii="Times New Roman" w:cs="Times New Roman" w:eastAsia="Times New Roman" w:hAnsi="Times New Roman"/>
          <w:sz w:val="18"/>
          <w:szCs w:val="18"/>
          <w:color w:val="auto"/>
        </w:rPr>
        <w:t>(NASDAQ: RAAQ). RAAQ shareholders will vote to approve the deal on June 25, and the transaction is expected to close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possible thereafter, subject to satisfaction or waiver of the applicable closing conditions. Upon closing of the transaction, all shares in RAAQ will convert, on a one-for-one basis, into American depositary shares of IQM. Once the transaction closes, IQM is expected to have an implied valuation of about $1.9 billion and will have pro forma cash of up to $477 million, prior to giving effect to any exercises of redemption rights for cash by RAAQ shareholders. IQM ADSs will trade on the Nasdaq Global Market under the symbol IQMX.</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IQM is already well-established in the market, having already sold 23 quantum computers, built more than 30 and delivered 18 computers globally. In 2025, IQM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xml:space="preserve"> that it generated about $36 million in revenue, growing significantly from the past year. IQM’s customers include four of the world’s top ten supercomputing centers and leading research institutions, including Oak Ridge National Laboratory in the U.S. That’s a big deal because one of the biggest questions surrounding quantum computing is whether customers are willing to pay for the technology today. These factors may explain why institutional investors were willing to invest $146 million in IQM’s upsized PIPE transaction conducted concurrently with the SPAC merger.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Willing To Spend</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Top-tier institutions also appear willing to bet on IQM, given that many have chosen the company after evaluating multiple technologies before making long-term infrastructure commitments. That, says the company, provides powerful third-party validation that quantum computing is moving beyond research and into real-world deployment. As CEO Jan Goetz recently told </w:t>
      </w:r>
      <w:r>
        <w:rPr>
          <w:rFonts w:ascii="Times New Roman" w:cs="Times New Roman" w:eastAsia="Times New Roman" w:hAnsi="Times New Roman"/>
          <w:sz w:val="18"/>
          <w:szCs w:val="18"/>
          <w:u w:val="single" w:color="auto"/>
          <w:color w:val="auto"/>
        </w:rPr>
        <w:t>CNBC</w:t>
      </w:r>
      <w:r>
        <w:rPr>
          <w:rFonts w:ascii="Times New Roman" w:cs="Times New Roman" w:eastAsia="Times New Roman" w:hAnsi="Times New Roman"/>
          <w:sz w:val="18"/>
          <w:szCs w:val="18"/>
          <w:color w:val="auto"/>
        </w:rPr>
        <w:t>, “Many people think quantum is still a technology thing and it’s not clear which technology wins and how to build a quantum computer. We think we are far beyond that. It’s actually about the adoption and putting quantum computing to use.”</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Plus, IQM reports that it had about $77 million in revenue backlog as of December 31, 2025, which shows that it has customers who are willing to pay for quantum computing, locking in future revenue. For investors, the backlog highlights commercial momentum, provides visibility into future revenue and reflects a runway of future system deployments.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But interested individuals don’t have to rely on IQM for evidence that the quantum computing market is poised for growth. The opportunity extends well beyond the quantum computing market itself, with </w:t>
      </w:r>
      <w:r>
        <w:rPr>
          <w:rFonts w:ascii="Times New Roman" w:cs="Times New Roman" w:eastAsia="Times New Roman" w:hAnsi="Times New Roman"/>
          <w:sz w:val="18"/>
          <w:szCs w:val="18"/>
          <w:u w:val="single" w:color="auto"/>
          <w:color w:val="auto"/>
        </w:rPr>
        <w:t>McKinsey</w:t>
      </w:r>
      <w:r>
        <w:rPr>
          <w:rFonts w:ascii="Times New Roman" w:cs="Times New Roman" w:eastAsia="Times New Roman" w:hAnsi="Times New Roman"/>
          <w:sz w:val="18"/>
          <w:szCs w:val="18"/>
          <w:color w:val="auto"/>
        </w:rPr>
        <w:t xml:space="preserve"> estimating the technology could unlock up to $2.7 trillion in economic value by 2035.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 &amp; Quantum Computing: Better Together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While AI has become the defining technology investment theme of the decade, many leading supercomputing centers and research institutions are investing in both AI and quantum computing as they prepare for the next generation of computing.</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IQM systems are already deployed in advanced computing environments where researchers are exploring how quantum technologies can complement future AI workloads.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260"/>
        <w:spacing w:after="0" w:line="266" w:lineRule="auto"/>
        <w:rPr>
          <w:sz w:val="20"/>
          <w:szCs w:val="20"/>
          <w:color w:val="auto"/>
        </w:rPr>
      </w:pPr>
      <w:r>
        <w:rPr>
          <w:rFonts w:ascii="Times New Roman" w:cs="Times New Roman" w:eastAsia="Times New Roman" w:hAnsi="Times New Roman"/>
          <w:sz w:val="18"/>
          <w:szCs w:val="18"/>
          <w:color w:val="auto"/>
        </w:rPr>
        <w:t>As AI models become larger and computational challenges become more complex, quantum computing is increasingly viewed as a complementary capability rather than a competing technology. For investors looking beyond today’s AI cycle, quantum computing is among the areas being watched by some as a potential next-generation opportunity.</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Instead of competing with AI for investment dollars, quantum computing is increasingly complementing the technology, a trend which could bode well for IQM, given it is an established leader with a proven track record, top-tier customers and $77 million in backlog.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Goetz also shared with CNBC that he believes the timing is right: “The technology is ready. The adoption is coming. We have successful sales cases around the world.”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Featured image from </w:t>
      </w:r>
      <w:r>
        <w:rPr>
          <w:rFonts w:ascii="Times New Roman" w:cs="Times New Roman" w:eastAsia="Times New Roman" w:hAnsi="Times New Roman"/>
          <w:sz w:val="18"/>
          <w:szCs w:val="18"/>
          <w:i w:val="1"/>
          <w:iCs w:val="1"/>
          <w:u w:val="single" w:color="auto"/>
          <w:color w:val="auto"/>
        </w:rPr>
        <w:t>Shutterstock.</w:t>
      </w:r>
    </w:p>
    <w:p>
      <w:pPr>
        <w:spacing w:after="0" w:line="22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This post contains sponsored content and was created in collaboration with a third-party partner. Benzinga is a publisher and does not provide personalized investment advice or act as a broker or dealer. This content is for informational purposes only and is not intended to be investing advice or an offer or solicitation to buy or sell any 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Transaction and Where to Find It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transaction, IQM Quantum Computers Oy (f/k/a IQM Finland Oy) (“IQM” or the “Company”) filed a registration statement on Form F-4 (the “Registration Statement”), which was declared effective by the SEC on June 5, 2026 and RAAQ mailed the definitive proxy statement/prospectus relating to the proposed business combination to its shareholders as of the record date for voting at the meeting of RAAQ’s shareholders to be held in connection with the proposed business combination (the “Extraordinary General Meeting”). The Registration Statement and the definitive proxy statement/prospectus contain important information about the proposed business combination and the other matters to be voted upon at the Extraordinary General Meeting. This communication does not contain all the information that should be considered concerning the proposed business combination and is not intended to provide the basis for any investment decision or any other decision in respect of such matters. RAAQ and IQM may also file other documents with the SEC regarding the proposed business combination. RAAQ’s shareholders and other interested persons are advised to read the Registration Statement, the definitive proxy statement/prospectus and other documents filed in connection with the proposed business combination, as these materials contain important information about RAAQ, IQM and the proposed business combination. Shareholders may obtain copies of the Registration Statement, the definitive proxy statement/prospectus, and the other documents filed or that will be filed by RAAQ and IQM with the SEC, without charge, at the SEC’s website located at www.sec.gov.</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U.S. federal securities laws and “forward-looking information” within the meaning of applicable non-U.S.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These forward-looking statements are based upon current estimates and assumptions that, while considered reasonable by IQM and its management, and RAAQ and its management, as the case may be, are inherently uncertain. These statements include: projections of market opportunity and market share; estimates of customer adoption rates and usage patterns; projections regarding the Company’s ability to commercialize new products and technologies; projections of development and commercialization costs and timelines; expectations regarding the Company’s ability to execute its business model and the expected financial benefits of such model; expectations regarding the Company’s ability to attract, retain and expand its customer base; the Company’s deployment of proceeds from capital raising transactions; the Company’s expectations concerning relationships with strategic partners, suppliers, governments, state-funded entities, regulatory bodies and other third parties; the Company’s ability to maintain, protect and enhance its intellectual property; future ventures or investments in companies, products, services or technologies; development of favorable regulations affecting the Company’s markets; the successful consummation and potential benefits of the proposed business combination and expectations related to its terms and timing; the stock exchanges on which the securities of the combined company are expected to trade; proceeds from the business combination and related PIPE; funds received by the combined company from RAAQ’s trust account and redemptions by RAAQ’s public shareholders; the Company’s ability to commercialize its hardware and software; the expectation that the Company is building the sovereign infrastructure that allows quantum ecosystems to grow; and the potential for the Company to increase in value.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the Company and RAAQ.</w:t>
      </w:r>
    </w:p>
    <w:p>
      <w:pPr>
        <w:spacing w:after="0" w:line="17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that may cause the actual results of the combined company following the proposed transaction, levels of activity, performance, or achievements to be materially different from any future results, levels of activity, performance or achievements expressed or implied by such statements. Such risks and uncertainties include: that the Company is pursuing an emerging technology, which faces significant technical challenges and may not achieve commercialization or market acceptance; the Company’s historical net losses and limited operating history; the Company’s expectations regarding future financial performance, capital requirements and unit economics; the Company’s use and reporting of business and operational metrics; the Company’s competitive landscape; the Company’s dependence on members of its senior management and its ability to attract and retain qualified personnel; the potential need for additional future financing; the Company’s concentration of revenue in contracts with government or state-funded entities; the Company’s ability to manage growth and expand its operations; potential future acquisitions or investments in companies, products, services or technologies; the Company’s reliance on strategic partners and other third parties; the Company’s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the combined company’s ability to maintain internal control over financial reporting and operate a public company; the possibility that required shareholder and regulatory approvals for the proposed transaction are delayed or are not obtained, which could adversely affect the combined company or the expected benefits of the proposed transaction; the risk that shareholders of RAAQ could elect to have their shares redeemed, leaving the combined company with insufficient cash to execute its business plans; the occurrence of any event, change or other circumstance that could give rise to the termination of the business combination agreement; the outcome of any legal proceedings or government investigations that may be commenced against the Company or RAAQ; failure to realize the anticipated benefits of the proposed transaction; the ability of IQM or the combined company to issue equity or equity-linked securities in connection with the proposed transaction or in the future; and other factors described in the Registration Statement and RAAQ’s and the Company’s other filings with the SEC.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and potential filings by the Company, RAAQ or the combined company resulting from the proposed business combination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the Company’s and RAAQ’s management as of the date of this communication; subsequent events and developments may cause their assessments to change. While the Company and RAAQ may elect to update these forward-looking statements at some point in the future, they specifically disclaim any obligation to do so, unless required by applicable securities laws. Accordingly, undue reliance should not be placed upon these statements.</w:t>
      </w:r>
    </w:p>
    <w:p>
      <w:pPr>
        <w:spacing w:after="0" w:line="20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communication,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An investment in RAAQ is not an investment in any of RAAQ’s founders’ or sponsors past investments, companies, or affiliated funds. The historical results of those investments are not indicative of future performance of RAAQ, which may differ materially from the performance of RAAQ’s founders’ or sponsors past investments.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RAAQ, the Company and certain of their respective directors, executive officers and other members of management and employees may, under SEC rules, be deemed to be participants in the solicitation of proxies from RAAQ’s shareholders in connection with the proposed business combination. Information regarding the persons who may, under SEC rules, be deemed participants in the solicitation of RAAQ’s shareholders in connection with the proposed business combination are set forth in the Registration Statement and the definitive proxy statement/prospectus filed with the SEC. Shareholders, potential investors, and other interested persons should read the Registration Statement and the definitive proxy statement/prospectus carefully before making any voting or investment decisions. You may obtain free copies of these documents from the sources described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including any European Economic Area member state or the United Kingdom.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Any potential dual listing of IQM’s ordinary shares on the Helsinki stock exchange referred to in this communication would be made by means of a prospectus as set out in the EU Prospectus Regulation.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90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2026-06-22T16:11:05Z</dcterms:created>
  <dcterms:modified xsi:type="dcterms:W3CDTF">2026-06-22T16:11:05Z</dcterms:modified>
</cp:coreProperties>
</file>