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25,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REAL ASSET ACQUISITION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001-42613</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174 Nassau Street,</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Suite 2100</w:t>
            </w:r>
          </w:p>
        </w:tc>
        <w:tc>
          <w:tcPr>
            <w:tcW w:w="2820" w:type="dxa"/>
            <w:vAlign w:val="bottom"/>
          </w:tcPr>
          <w:p>
            <w:pPr>
              <w:spacing w:after="0"/>
              <w:rPr>
                <w:sz w:val="18"/>
                <w:szCs w:val="18"/>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Princeton, New Jersey 08542</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(609) 924-0759</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RAAQU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share, $0.0001 par value, and one-half of one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per</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RAAQ</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redeemable</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RAAQW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 exercisable for one Class A ordinary</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at an exercise 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June 25, 2026, Real Asset Acquisition Corp., a Cayman Islands exempted company (“RAAQ”), held an extraordinary general meeting of shareholders (the “RAAQ Shareholders’ Meeting”) in connection with its proposed business combination (the “Business Combination”) with IQM Quantum Computers Oyj (f/k/a IQM Finland Oy) (“IQM”).</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On June 3, 2026, the record date for the RAAQ Shareholders’ Meeting, there were 23,000,000 ordinary shares, par value $0.0001 per share, of RAAQ (the “Ordinary Shares”), entitled to be voted at the RAAQ Shareholders’ Meeting. At the RAAQ Shareholders’ Meeting, 14,488,401 Ordinary Shares, or approximately 63% of the shares entitled to vote at the RAAQ Shareholders’ Meeting, were represented in person or by proxy, which constituted a quorum.</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RAAQ’s shareholders voted on the following proposals at the RAAQ Shareholders’ Meeting, each of which was approved. The final vote tabulation is set forth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Shareholder Proposal No. 1 - Business Combination Proposal</w:t>
      </w:r>
    </w:p>
    <w:p>
      <w:pPr>
        <w:spacing w:after="0" w:line="22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 proposal to approve and authorize, by ordinary resolution, the business combination agreement, dated as of February 22, 2026 (as may be further amended, supplemented or otherwise modified from time to time, the “Business Combination Agreement”), by and among RAAQ, IQM, IQM US LLC, a Delaware limited liability company and an indirect, wholly-owned subsidiary of IQM (“Merger Sub”), and ECLIPSE QC S.à r.l., a private limited liability company (société à responsabilité limitée) incorporated under the laws of the Grand Duchy of Luxembourg and a direct, wholly-owned subsidiary of IQM (“LuxCo”), pursuant to which, among other things, (i) IQM will effectuate certain internal capital restructuring steps immediately prior to the effective time of the Merger (as defined below), (ii) promptly thereafter, RAAQ will merge with and into Merger Sub (the “Merger”), with Merger Sub surviving the Merger as an indirect wholly-owned subsidiary of IQM, (iii) each issued and outstanding Class A ordinary share of RAAQ will be automatically cancelled and exchanged for the right to receive one American depositary share of IQM, with each such American depositary share representing one ordinary share of IQM, and (iv) each warrant of RAAQ will be assumed by IQM and become a warrant to purchase one American depositary share of IQM, in each case in accordance with the terms and subject to the conditions of the Business Combination Agreement (collectively, the “Business Combination,” and such proposal, the “Business Combination Proposal”).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voting results for such proposal were as follows: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52"/>
        </w:trPr>
        <w:tc>
          <w:tcPr>
            <w:tcW w:w="47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rPr>
              <w:t>For</w:t>
            </w:r>
          </w:p>
        </w:tc>
        <w:tc>
          <w:tcPr>
            <w:tcW w:w="2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Against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13,687,335</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800,760</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306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Shareholder Proposal No. 2 - Merger Proposal</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 proposal to approve, by special resolution, assuming the Business Combination Proposal is approved and adopted, the Merger and the Plan of Merger (as defined in the Business Combination Agreement), substantially in the form attached to the proxy statement/prospectus as Annex B, pursuant to which RAAQ will merge with and into Merger Sub, with Merger Sub surviving the Merger as a direct wholly-owned subsidiary of LuxCo and an indirect wholly-owned subsidiary of IQM (the “Merger Proposal”).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voting results for such proposal were as follows: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53"/>
        </w:trPr>
        <w:tc>
          <w:tcPr>
            <w:tcW w:w="47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rPr>
              <w:t>For</w:t>
            </w:r>
          </w:p>
        </w:tc>
        <w:tc>
          <w:tcPr>
            <w:tcW w:w="2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Against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13,687,536</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800,760</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105</w:t>
            </w:r>
          </w:p>
        </w:tc>
      </w:tr>
      <w:tr>
        <w:trPr>
          <w:trHeight w:val="655"/>
        </w:trPr>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IQM filed with the Securities and Exchange Commission (the “SEC”) a registration statement on Form F-4 (the “Registration Statement”), which included a proxy statement of RAAQ and a prospectus of IQM. The Registration Statement was declared effective by the SEC on June 5, 2026, and RAAQ mailed the definitive proxy statement/prospectus relating to the Business Combination to its shareholders. The definitive proxy statement/prospectus contains important information about the Business Combination and related matters. RAAQ’s shareholders and other interested persons may obtain copies of the Registration Statement, including the definitive proxy statement/prospectus, and other documents filed or that will be filed by RAAQ and IQM with the SEC, free of charge, through the website maintained by the SEC at www.sec.gov.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This Current Report includes “forward-looking statements” within the meaning of the U.S. federal securities laws and “forward-looking information” within the meaning of applicable non-U.S.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These forward-looking statements are based upon current estimates and assumptions that, while considered reasonable by IQM and its management, and RAAQ and its management, as the case may be, are inherently uncertain. These statements include: projections of market opportunity and market share; estimates of customer adoption rates and usage patterns; projections regarding IQM’s ability to commercialize new products and technologies; projections of development and commercialization costs and timelines; expectations regarding IQM’s ability to execute its business model and the expected financial benefits of such model; expectations regarding IQM’s ability to attract, retain and expand its customer base; IQM’s deployment of proceeds from capital raising transactions; IQM’s expectations concerning relationships with strategic partners, suppliers, governments, state-funded entities, regulatory bodies and other third parties; IQM’s ability to maintain, protect and enhance its intellectual property; future ventures or investments in companies, products, services or technologies; development of favorable regulations affecting IQM’s markets; the successful consummation and potential benefits of the proposed business combination and expectations related to its terms and timing; the stock exchanges on which the securities of the combined company are expected to trade; proceeds from the business combination and related PIPE; funds received by the combined company from RAAQ’s trust account and redemptions by RAAQ’s public shareholders; IQM’s ability to commercialize its hardware and software; the expectation that IQM is building the sovereign infrastructure that allows quantum ecosystems to grow; and the potential for IQM to increase in value.</w:t>
      </w:r>
    </w:p>
    <w:p>
      <w:pPr>
        <w:spacing w:after="0" w:line="19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IQM and RAAQ.</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the actual results of the combined company following the proposed Business Combination, levels of activity, performance, or achievements to be materially different from any future results, levels of activity, performance or achievements expressed or implied by such statements. Such risks and uncertainties include: that IQM is pursuing an emerging technology, which faces significant technical challenges and may not achieve commercialization or market acceptance; IQM’s historical net losses and limited operating history; IQM’s expectations regarding future financial performance, capital requirements and unit economics; IQM’s use and reporting of business and operational metrics; IQM’s competitive landscape; IQM’s dependence on members of its senior management and its ability to attract and retain qualified personnel; the potential need for additional future financing; IQM’s concentration of revenue in contracts with government or state-funded entities; IQM’s ability to manage growth and expand its operations; potential future acquisitions or investments in companies, products, services or technologies; IQM’s reliance on strategic partners and other third parties; IQM’s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possibility that required regulatory approvals for the proposed Business Combination are delayed or are not obtained, which could adversely affect the combined company or the expected benefits of the proposed Business Combination; the risk that shareholders of RAAQ could elect to have their shares redeemed, leaving the combined company with insufficient cash to execute its business plans; the occurrence of any event, change or other circumstance that could give rise to the termination of the Business Combination Agreement; the outcome of any legal proceedings or government investigations that may be commenced against IQM or RAAQ; failure to realize the anticipated benefits of the proposed Business Combination; the ability of IQM or the combined company to issue equity or equity-linked securities in connection with the proposed Business Combination or in the future; and other factors described in the Registration Statement and RAAQ’s and IQM’s other filings with the SEC.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IQM, RAAQ or the combined company resulting from the proposed Business Combination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IQM’s and RAAQ’s management as of the date of this Current Report; subsequent events and developments may cause their assessments to change. While IQM and RAAQ may elect to update these forward-looking statements at some point in the future, they specifically disclaim any obligation to do so, unless required by applicable securities laws. Accordingly, undue reliance should not be placed upon these statements.</w:t>
      </w:r>
    </w:p>
    <w:p>
      <w:pPr>
        <w:spacing w:after="0" w:line="203"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Current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RAAQ is not an investment in any of RAAQ’s founders’ or sponsors past investments, companies, or affiliated funds. The historical results of those investments are not indicative of future performance of RAAQ, which may differ materially from the performance of RAAQ’s founders’ or sponsors past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including any European Economic Area member state or the United Kingdom. This Current Report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Any potential dual listing of IQM’s ordinary shares on the Helsinki stock exchange referred to in this Current Report would be made by means of a prospectus as set out in the EU Prospectus Regulation.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ASSET ACQUISITION CORP.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Peter 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Ort</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Principal Executive Officer and Co-Chairman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2026-06-25T18:13:54Z</dcterms:created>
  <dcterms:modified xsi:type="dcterms:W3CDTF">2026-06-25T18:13:54Z</dcterms:modified>
</cp:coreProperties>
</file>