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Real Asset Acquisition Corp.</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IQM Quantum Computers Oyj</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333-295867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June 29, 2026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IQM Quantum Computers Plc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Other information disclosed according to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rules of the Exchange</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IQM Quantum Computers Plc applies for its shares to be listed on the regulated market of Nasdaq Helsinki</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IQM Quantum Computers Plc, Stock Exchange Release, June 29, 2026 at 3:00 p.m. (EEST)</w:t>
      </w:r>
    </w:p>
    <w:p>
      <w:pPr>
        <w:spacing w:after="0" w:line="22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IQM Quantum Computers Plc (“</w:t>
      </w:r>
      <w:r>
        <w:rPr>
          <w:rFonts w:ascii="Times New Roman" w:cs="Times New Roman" w:eastAsia="Times New Roman" w:hAnsi="Times New Roman"/>
          <w:sz w:val="18"/>
          <w:szCs w:val="18"/>
          <w:b w:val="1"/>
          <w:bCs w:val="1"/>
          <w:color w:val="auto"/>
        </w:rPr>
        <w:t>IQM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today submitted a listing application with Nasdaq Helsinki Ltd (“</w:t>
      </w:r>
      <w:r>
        <w:rPr>
          <w:rFonts w:ascii="Times New Roman" w:cs="Times New Roman" w:eastAsia="Times New Roman" w:hAnsi="Times New Roman"/>
          <w:sz w:val="18"/>
          <w:szCs w:val="18"/>
          <w:b w:val="1"/>
          <w:bCs w:val="1"/>
          <w:color w:val="auto"/>
        </w:rPr>
        <w:t>Nasdaq Helsinki</w:t>
      </w:r>
      <w:r>
        <w:rPr>
          <w:rFonts w:ascii="Times New Roman" w:cs="Times New Roman" w:eastAsia="Times New Roman" w:hAnsi="Times New Roman"/>
          <w:sz w:val="18"/>
          <w:szCs w:val="18"/>
          <w:color w:val="auto"/>
        </w:rPr>
        <w:t>”) to admit the Company’s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for trading on the regulated market of Nasdaq Helsinki (the “</w:t>
      </w:r>
      <w:r>
        <w:rPr>
          <w:rFonts w:ascii="Times New Roman" w:cs="Times New Roman" w:eastAsia="Times New Roman" w:hAnsi="Times New Roman"/>
          <w:sz w:val="18"/>
          <w:szCs w:val="18"/>
          <w:b w:val="1"/>
          <w:bCs w:val="1"/>
          <w:color w:val="auto"/>
        </w:rPr>
        <w:t>Listing</w:t>
      </w:r>
      <w:r>
        <w:rPr>
          <w:rFonts w:ascii="Times New Roman" w:cs="Times New Roman" w:eastAsia="Times New Roman" w:hAnsi="Times New Roman"/>
          <w:sz w:val="18"/>
          <w:szCs w:val="18"/>
          <w:color w:val="auto"/>
        </w:rPr>
        <w:t>”). Trading in the Shares is expected to commence on the regulated market of Nasdaq Helsinki on or about July 3, 2026 under the trading code “IQMX”.</w:t>
      </w:r>
    </w:p>
    <w:p>
      <w:pPr>
        <w:spacing w:after="0" w:line="171"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IQM has on February 22, 2026 entered into a definitive business combination agreement with Real Asset Acquisition Corp. (“</w:t>
      </w:r>
      <w:r>
        <w:rPr>
          <w:rFonts w:ascii="Times New Roman" w:cs="Times New Roman" w:eastAsia="Times New Roman" w:hAnsi="Times New Roman"/>
          <w:sz w:val="18"/>
          <w:szCs w:val="18"/>
          <w:b w:val="1"/>
          <w:bCs w:val="1"/>
          <w:color w:val="auto"/>
        </w:rPr>
        <w:t>RAAQ</w:t>
      </w:r>
      <w:r>
        <w:rPr>
          <w:rFonts w:ascii="Times New Roman" w:cs="Times New Roman" w:eastAsia="Times New Roman" w:hAnsi="Times New Roman"/>
          <w:sz w:val="18"/>
          <w:szCs w:val="18"/>
          <w:color w:val="auto"/>
        </w:rPr>
        <w:t>”), a Nasdaq-listed special purpose acquisition company, pursuant to which RAAQ would merge with and into IQM US LLC, an indirect wholly-owned subsidiary of IQM (the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with Merger Sub surviving the merger as an indirect wholly-owned subsidiary of IQM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connection with and upon completion of the Business Combination, IQM will become a public company and its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issued as consideration to RAAQ’s shareholders, each ADS representing one share in IQM, are expected to commence trading on Nasdaq Stock Market LLC on or about July 2, 2026 under the trading symbol “IQMX”.</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Blair Robertson, Investor Relations Officer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Investors@iqm.tech</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IQM Quantum Computers</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IQM Quantum Computers is a global leader in superconducting quantum computing, delivering full-stack quantum systems and cloud platform access to enterprises, research institutions, high-performance computing centers, and national laboratories worldwide. IQM’s open and modular architecture enables customers to own, control, and integrate quantum systems directly into their workflows. Founded in 2018 and headquartered in Espoo, Finland, with major operations in Munich, Germany, it has over 400 employees globally and one of the industry’s strongest track records in deployed quantum systems across Europe, Asia, and North America.</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IQM filed with the Securities and Exchange Commission (the “SEC”) a registration statement on Form F-4 (the “Registration Statement”), which included a proxy statement of RAAQ and a prospectus of IQM. The Registration Statement was declared effective by the SEC on June 5, 2026, and RAAQ mailed the definitive proxy statement/prospectus relating to the Business Combination to its shareholders. The definitive proxy statement/prospectus contains important information about the Business Combination and related matters. RAAQ’s shareholders and other interested persons may obtain copies of the Registration Statement, including the definitive proxy statement/prospectus, and other documents filed or that will be filed by RAAQ and IQM with the SEC, free of charge, through the website maintained by the SEC at www.sec.gov.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U.S. federal securities laws and “forward-looking information” within the meaning of applicable non-U.S.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These forward-looking statements are based upon current estimates and assumptions that, while considered reasonable by IQM and its management, and RAAQ and its management, as the case may be, are inherently uncertain. These statements include: projections of market opportunity and market share; estimates of customer adoption rates and usage patterns; projections regarding IQM’s ability to commercialize new products and technologies; projections of development and commercialization costs and timelines; expectations regarding IQM’s ability to execute its business model and the expected financial benefits of such model; expectations regarding IQM’s ability to attract, retain and expand its customer base; IQM’s deployment of proceeds from capital raising transactions; IQM’s expectations concerning relationships with strategic partners, suppliers, governments, state-funded entities, regulatory bodies and other third parties; IQM’s ability to maintain, protect and enhance its intellectual property; future ventures or investments in companies, products, services or technologies; development of favorable regulations affecting IQM’s markets; the successful consummation and potential benefits of the proposed Business Combination and expectations related to its terms and timing; the stock exchanges on which the securities of the combined company are expected to trade; proceeds from the Business Combination and related PIPE; funds received by the combined company from RAAQ’s trust account and redemptions by RAAQ’s public shareholders; IQM’s ability to commercialize its hardware and software; the expectation that IQM is building the sovereign infrastructure that allows quantum ecosystems to grow; and the potential for IQM to increase in value.</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IQM and RAAQ.</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that may cause the actual results of the combined company following the proposed Business Combination, levels of activity, performance, or achievements to be materially different from any future results, levels of activity, performance or achievements expressed or implied by such statements. Such risks and uncertainties include: that IQM is pursuing an emerging technology, which faces significant technical challenges and may not achieve commercialization or market acceptance; IQM’s historical net losses and limited operating history; IQM’s expectations regarding future financial performance, capital requirements and unit economics; IQM’s use and reporting of business and operational metrics; IQM’s competitive landscape; IQM’s dependence on members of its senior management and its ability to attract and retain qualified personnel; the potential need for additional future financing; IQM’s concentration of revenue in contracts with government or state-funded entities; IQM’s ability to manage growth and expand its operations; potential future acquisitions or investments in companies, products, services or technologies; IQM’s reliance on strategic partners and other third parties; IQM’s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the combined company’s ability to maintain internal control over financial reporting and operate a public company; the possibility that required regulatory approvals for the proposed Business Combination are delayed or are not obtained, which could adversely affect the combined company or the expected benefits of the proposed Business Combination; the risk that shareholders of RAAQ could elect to have their shares redeemed, leaving the combined company with insufficient cash to execute its business plans; the occurrence of any event, change or other circumstance that could give rise to the termination of the Business Combination Agreement; the outcome of any legal proceedings or government investigations that may be commenced against IQM or RAAQ; failure to realize the anticipated benefits of the proposed Business Combination; the ability of IQM or the combined company to issue equity or equity-linked securities in connection with the proposed Business Combination or in the future; and other factors described in the Registration Statement and RAAQ’s and IQM’s other filings with the SEC.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and potential filings by IQM, RAAQ or the combined company resulting from the proposed Business Combination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IQM’s and RAAQ’s management as of the date of this communication; subsequent events and developments may cause their assessments to change. While IQM and RAAQ may elect to update these forward-looking statements at some point in the future, they specifically disclaim any obligation to do so, unless required by applicable securities laws. Accordingly, undue reliance should not be placed upon these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communication,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An investment in RAAQ is not an investment in any of RAAQ’s founders’ or sponsors past investments, companies, or affiliated funds. The historical results of those investments are not indicative of future performance of RAAQ, which may differ materially from the performance of RAAQ’s founders’ or sponsors past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including any European Economic Area member state or the United Kingdom.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Any potential dual listing of IQM’s ordinary shares on the Helsinki stock exchange referred to in this communication would be made by means of a prospectus as set out in the EU Prospectus Regulation.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2026-06-29T15:31:19Z</dcterms:created>
  <dcterms:modified xsi:type="dcterms:W3CDTF">2026-06-29T15:31:19Z</dcterms:modified>
</cp:coreProperties>
</file>