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4918d6k.htm"/>
      <w:bookmarkStart w:id="1" w:name="ksd11491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001-43383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IQM Quantum Computers Oyj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Keilaranta 19</w:t>
      </w:r>
    </w:p>
    <w:p>
      <w:pPr>
        <w:pStyle w:val="TextBody"/>
        <w:bidi w:val="0"/>
        <w:spacing w:before="0" w:after="0"/>
        <w:jc w:val="center"/>
        <w:rPr>
          <w:rFonts w:ascii="Times New Roman" w:hAnsi="Times New Roman"/>
          <w:b/>
          <w:sz w:val="20"/>
        </w:rPr>
      </w:pPr>
      <w:r>
        <w:rPr>
          <w:rFonts w:ascii="Times New Roman" w:hAnsi="Times New Roman"/>
          <w:b/>
          <w:sz w:val="20"/>
        </w:rPr>
        <w:t>FI-02150 Espoo</w:t>
      </w:r>
    </w:p>
    <w:p>
      <w:pPr>
        <w:pStyle w:val="TextBody"/>
        <w:bidi w:val="0"/>
        <w:spacing w:before="0" w:after="0"/>
        <w:jc w:val="center"/>
        <w:rPr>
          <w:rFonts w:ascii="Times New Roman" w:hAnsi="Times New Roman"/>
          <w:b/>
          <w:sz w:val="20"/>
        </w:rPr>
      </w:pPr>
      <w:r>
        <w:rPr>
          <w:rFonts w:ascii="Times New Roman" w:hAnsi="Times New Roman"/>
          <w:b/>
          <w:sz w:val="20"/>
        </w:rPr>
        <w:t>Finland</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 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July 9, 2026, IQM Quantum Computers Oyj (the “Company”) issued, via stock exchange release made with Nasdaq Helsinki Ltd. (“Nasdaq Helsinki”), notification and public disclosure of the transfer of Company shares to certain members of its Board of Directors as part of their annual remuneration. The stock exchange release is attached hereto as Exhibit 99.1.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7"/>
        <w:gridCol w:w="438"/>
        <w:gridCol w:w="8990"/>
      </w:tblGrid>
      <w:tr>
        <w:trPr/>
        <w:tc>
          <w:tcPr>
            <w:tcW w:w="777"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8990" w:type="dxa"/>
            <w:tcBorders/>
            <w:vAlign w:val="center"/>
          </w:tcPr>
          <w:p>
            <w:pPr>
              <w:pStyle w:val="TableContents"/>
              <w:bidi w:val="0"/>
              <w:spacing w:before="0" w:after="283"/>
              <w:jc w:val="left"/>
              <w:rPr>
                <w:sz w:val="4"/>
                <w:szCs w:val="4"/>
              </w:rPr>
            </w:pPr>
            <w:r>
              <w:rPr>
                <w:sz w:val="4"/>
                <w:szCs w:val="4"/>
              </w:rPr>
            </w:r>
          </w:p>
        </w:tc>
      </w:tr>
      <w:tr>
        <w:trPr/>
        <w:tc>
          <w:tcPr>
            <w:tcW w:w="777"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No.</w:t>
            </w:r>
          </w:p>
        </w:tc>
        <w:tc>
          <w:tcPr>
            <w:tcW w:w="438" w:type="dxa"/>
            <w:tcBorders/>
            <w:vAlign w:val="bottom"/>
          </w:tcPr>
          <w:p>
            <w:pPr>
              <w:pStyle w:val="TableContents"/>
              <w:bidi w:val="0"/>
              <w:spacing w:before="0" w:after="283"/>
              <w:jc w:val="left"/>
              <w:rPr/>
            </w:pPr>
            <w:r>
              <w:rPr/>
              <w:t>  </w:t>
            </w:r>
          </w:p>
        </w:tc>
        <w:tc>
          <w:tcPr>
            <w:tcW w:w="89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77" w:type="dxa"/>
            <w:tcBorders/>
            <w:vAlign w:val="center"/>
          </w:tcPr>
          <w:p>
            <w:pPr>
              <w:pStyle w:val="TableContents"/>
              <w:bidi w:val="0"/>
              <w:spacing w:before="0" w:after="283"/>
              <w:jc w:val="left"/>
              <w:rPr>
                <w:sz w:val="4"/>
                <w:szCs w:val="4"/>
              </w:rPr>
            </w:pPr>
            <w:r>
              <w:rPr>
                <w:sz w:val="4"/>
                <w:szCs w:val="4"/>
              </w:rPr>
            </w:r>
          </w:p>
        </w:tc>
        <w:tc>
          <w:tcPr>
            <w:tcW w:w="9428" w:type="dxa"/>
            <w:gridSpan w:val="2"/>
            <w:tcBorders/>
            <w:vAlign w:val="center"/>
          </w:tcPr>
          <w:p>
            <w:pPr>
              <w:pStyle w:val="TableContents"/>
              <w:bidi w:val="0"/>
              <w:spacing w:before="0" w:after="283"/>
              <w:jc w:val="left"/>
              <w:rPr>
                <w:sz w:val="4"/>
                <w:szCs w:val="4"/>
              </w:rPr>
            </w:pPr>
            <w:r>
              <w:rPr>
                <w:sz w:val="4"/>
                <w:szCs w:val="4"/>
              </w:rPr>
            </w:r>
          </w:p>
        </w:tc>
      </w:tr>
      <w:tr>
        <w:trPr/>
        <w:tc>
          <w:tcPr>
            <w:tcW w:w="777" w:type="dxa"/>
            <w:tcBorders/>
          </w:tcPr>
          <w:p>
            <w:pPr>
              <w:pStyle w:val="TableContents"/>
              <w:bidi w:val="0"/>
              <w:spacing w:before="0" w:after="283"/>
              <w:jc w:val="left"/>
              <w:rPr/>
            </w:pPr>
            <w:r>
              <w:rPr/>
              <w:t>99.1</w:t>
            </w:r>
          </w:p>
        </w:tc>
        <w:tc>
          <w:tcPr>
            <w:tcW w:w="438" w:type="dxa"/>
            <w:tcBorders/>
            <w:vAlign w:val="bottom"/>
          </w:tcPr>
          <w:p>
            <w:pPr>
              <w:pStyle w:val="TableContents"/>
              <w:bidi w:val="0"/>
              <w:spacing w:before="0" w:after="283"/>
              <w:jc w:val="left"/>
              <w:rPr/>
            </w:pPr>
            <w:r>
              <w:rPr/>
              <w:t>  </w:t>
            </w:r>
          </w:p>
        </w:tc>
        <w:tc>
          <w:tcPr>
            <w:tcW w:w="8990" w:type="dxa"/>
            <w:tcBorders/>
          </w:tcPr>
          <w:p>
            <w:pPr>
              <w:pStyle w:val="TableContents"/>
              <w:bidi w:val="0"/>
              <w:spacing w:before="0" w:after="283"/>
              <w:jc w:val="left"/>
              <w:rPr/>
            </w:pPr>
            <w:hyperlink w:anchor="d114918dex991.htm">
              <w:r>
                <w:rPr>
                  <w:rStyle w:val="InternetLink"/>
                </w:rPr>
                <w:t xml:space="preserve">Stock Exchange Release, dated July 9,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71"/>
        <w:gridCol w:w="108"/>
        <w:gridCol w:w="391"/>
        <w:gridCol w:w="108"/>
        <w:gridCol w:w="349"/>
        <w:gridCol w:w="108"/>
        <w:gridCol w:w="599"/>
        <w:gridCol w:w="108"/>
        <w:gridCol w:w="4263"/>
      </w:tblGrid>
      <w:tr>
        <w:trPr/>
        <w:tc>
          <w:tcPr>
            <w:tcW w:w="417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63" w:type="dxa"/>
            <w:tcBorders/>
            <w:vAlign w:val="center"/>
          </w:tcPr>
          <w:p>
            <w:pPr>
              <w:pStyle w:val="TableContents"/>
              <w:bidi w:val="0"/>
              <w:spacing w:before="0" w:after="283"/>
              <w:jc w:val="left"/>
              <w:rPr>
                <w:sz w:val="4"/>
                <w:szCs w:val="4"/>
              </w:rPr>
            </w:pPr>
            <w:r>
              <w:rPr>
                <w:sz w:val="4"/>
                <w:szCs w:val="4"/>
              </w:rPr>
            </w:r>
          </w:p>
        </w:tc>
      </w:tr>
      <w:tr>
        <w:trPr/>
        <w:tc>
          <w:tcPr>
            <w:tcW w:w="417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427" w:type="dxa"/>
            <w:gridSpan w:val="5"/>
            <w:tcBorders/>
          </w:tcPr>
          <w:p>
            <w:pPr>
              <w:pStyle w:val="TableContents"/>
              <w:bidi w:val="0"/>
              <w:spacing w:before="0" w:after="283"/>
              <w:jc w:val="left"/>
              <w:rPr>
                <w:b/>
              </w:rPr>
            </w:pPr>
            <w:r>
              <w:rPr>
                <w:b/>
              </w:rPr>
              <w:t>IQM QUANTUM COMPUTERS OYJ</w:t>
            </w:r>
          </w:p>
        </w:tc>
      </w:tr>
      <w:tr>
        <w:trPr>
          <w:trHeight w:val="240" w:hRule="atLeast"/>
        </w:trPr>
        <w:tc>
          <w:tcPr>
            <w:tcW w:w="4171" w:type="dxa"/>
            <w:tcBorders/>
            <w:vAlign w:val="center"/>
          </w:tcPr>
          <w:p>
            <w:pPr>
              <w:pStyle w:val="TableContents"/>
              <w:bidi w:val="0"/>
              <w:spacing w:before="0" w:after="283"/>
              <w:jc w:val="left"/>
              <w:rPr>
                <w:sz w:val="4"/>
                <w:szCs w:val="4"/>
              </w:rPr>
            </w:pPr>
            <w:r>
              <w:rPr>
                <w:sz w:val="4"/>
                <w:szCs w:val="4"/>
              </w:rPr>
            </w:r>
          </w:p>
        </w:tc>
        <w:tc>
          <w:tcPr>
            <w:tcW w:w="499" w:type="dxa"/>
            <w:gridSpan w:val="2"/>
            <w:tcBorders/>
            <w:vAlign w:val="center"/>
          </w:tcPr>
          <w:p>
            <w:pPr>
              <w:pStyle w:val="TableContents"/>
              <w:bidi w:val="0"/>
              <w:spacing w:before="0" w:after="283"/>
              <w:jc w:val="left"/>
              <w:rPr>
                <w:sz w:val="4"/>
                <w:szCs w:val="4"/>
              </w:rPr>
            </w:pPr>
            <w:r>
              <w:rPr>
                <w:sz w:val="4"/>
                <w:szCs w:val="4"/>
              </w:rPr>
            </w:r>
          </w:p>
        </w:tc>
        <w:tc>
          <w:tcPr>
            <w:tcW w:w="457" w:type="dxa"/>
            <w:gridSpan w:val="2"/>
            <w:tcBorders/>
            <w:vAlign w:val="center"/>
          </w:tcPr>
          <w:p>
            <w:pPr>
              <w:pStyle w:val="TableContents"/>
              <w:bidi w:val="0"/>
              <w:spacing w:before="0" w:after="283"/>
              <w:jc w:val="left"/>
              <w:rPr>
                <w:sz w:val="4"/>
                <w:szCs w:val="4"/>
              </w:rPr>
            </w:pPr>
            <w:r>
              <w:rPr>
                <w:sz w:val="4"/>
                <w:szCs w:val="4"/>
              </w:rPr>
            </w:r>
          </w:p>
        </w:tc>
        <w:tc>
          <w:tcPr>
            <w:tcW w:w="5078" w:type="dxa"/>
            <w:gridSpan w:val="4"/>
            <w:tcBorders/>
            <w:vAlign w:val="center"/>
          </w:tcPr>
          <w:p>
            <w:pPr>
              <w:pStyle w:val="TableContents"/>
              <w:bidi w:val="0"/>
              <w:spacing w:before="0" w:after="283"/>
              <w:jc w:val="left"/>
              <w:rPr>
                <w:sz w:val="4"/>
                <w:szCs w:val="4"/>
              </w:rPr>
            </w:pPr>
            <w:r>
              <w:rPr>
                <w:sz w:val="4"/>
                <w:szCs w:val="4"/>
              </w:rPr>
            </w:r>
          </w:p>
        </w:tc>
      </w:tr>
      <w:tr>
        <w:trPr/>
        <w:tc>
          <w:tcPr>
            <w:tcW w:w="4171" w:type="dxa"/>
            <w:tcBorders/>
          </w:tcPr>
          <w:p>
            <w:pPr>
              <w:pStyle w:val="TableContents"/>
              <w:bidi w:val="0"/>
              <w:spacing w:before="0" w:after="283"/>
              <w:jc w:val="left"/>
              <w:rPr/>
            </w:pPr>
            <w:r>
              <w:rPr/>
              <w:t>Date: July 13, 2026</w:t>
            </w:r>
          </w:p>
        </w:tc>
        <w:tc>
          <w:tcPr>
            <w:tcW w:w="108"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97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 Goetz</w:t>
            </w:r>
          </w:p>
        </w:tc>
      </w:tr>
      <w:tr>
        <w:trPr/>
        <w:tc>
          <w:tcPr>
            <w:tcW w:w="417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263" w:type="dxa"/>
            <w:tcBorders/>
          </w:tcPr>
          <w:p>
            <w:pPr>
              <w:pStyle w:val="TableContents"/>
              <w:bidi w:val="0"/>
              <w:spacing w:before="0" w:after="283"/>
              <w:jc w:val="left"/>
              <w:rPr/>
            </w:pPr>
            <w:r>
              <w:rPr/>
              <w:t>Jan Goetz</w:t>
            </w:r>
          </w:p>
        </w:tc>
      </w:tr>
      <w:tr>
        <w:trPr/>
        <w:tc>
          <w:tcPr>
            <w:tcW w:w="417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263" w:type="dxa"/>
            <w:tcBorders/>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14918dex991.htm"/>
      <w:bookmarkStart w:id="3" w:name="ksd114918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Changes in company’s own shares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IQM QUANTUM COMPUTERS PLC’S HOLDING OF ITS OWN SHARES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Plc, Stock Exchange Release, July 9, 2026 at 17:20 (EEST) </w:t>
      </w:r>
    </w:p>
    <w:p>
      <w:pPr>
        <w:pStyle w:val="TextBody"/>
        <w:bidi w:val="0"/>
        <w:spacing w:before="240" w:after="0"/>
        <w:jc w:val="left"/>
        <w:rPr>
          <w:rFonts w:ascii="Times New Roman" w:hAnsi="Times New Roman"/>
          <w:sz w:val="20"/>
        </w:rPr>
      </w:pPr>
      <w:r>
        <w:rPr>
          <w:rFonts w:ascii="Times New Roman" w:hAnsi="Times New Roman"/>
          <w:sz w:val="20"/>
        </w:rPr>
        <w:t>Following the resolution taken at IQM Quantum Computers Plc’s (“</w:t>
      </w:r>
      <w:r>
        <w:rPr>
          <w:rFonts w:ascii="Times New Roman" w:hAnsi="Times New Roman"/>
          <w:b/>
          <w:sz w:val="20"/>
        </w:rPr>
        <w:t>IQM</w:t>
      </w:r>
      <w:r>
        <w:rPr>
          <w:rFonts w:ascii="Times New Roman" w:hAnsi="Times New Roman"/>
          <w:sz w:val="20"/>
        </w:rPr>
        <w:t xml:space="preserve">”) Annual General Meeting on June 12, 2026, IQM has transferred 43,255 shares to certain members of the Board of Directors on July 9, 2026 as part of the remuneration of certain members of the Board of Directors. According to the decision taken at the Annual General Meeting, 100% of the annual remuneration is paid in the company’s shares.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transfer, IQM holds a total of 73,726,998 own shares. </w:t>
      </w:r>
    </w:p>
    <w:p>
      <w:pPr>
        <w:pStyle w:val="TextBody"/>
        <w:bidi w:val="0"/>
        <w:spacing w:before="36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Blair Robertson, Vice President, Strategy &amp; Corporate Development </w:t>
      </w:r>
    </w:p>
    <w:p>
      <w:pPr>
        <w:pStyle w:val="TextBody"/>
        <w:bidi w:val="0"/>
        <w:spacing w:before="360" w:after="0"/>
        <w:jc w:val="left"/>
        <w:rPr>
          <w:rFonts w:ascii="Times New Roman" w:hAnsi="Times New Roman"/>
          <w:i/>
          <w:sz w:val="20"/>
        </w:rPr>
      </w:pPr>
      <w:r>
        <w:rPr>
          <w:rFonts w:ascii="Times New Roman" w:hAnsi="Times New Roman"/>
          <w:i/>
          <w:sz w:val="20"/>
        </w:rPr>
        <w:t xml:space="preserve">Investor Relations Officer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Investors@iqm.tech </w:t>
      </w:r>
    </w:p>
    <w:p>
      <w:pPr>
        <w:pStyle w:val="TextBody"/>
        <w:bidi w:val="0"/>
        <w:spacing w:before="360" w:after="0"/>
        <w:jc w:val="left"/>
        <w:rPr>
          <w:rFonts w:ascii="Times New Roman" w:hAnsi="Times New Roman"/>
          <w:b/>
          <w:sz w:val="20"/>
        </w:rPr>
      </w:pPr>
      <w:r>
        <w:rPr>
          <w:rFonts w:ascii="Times New Roman" w:hAnsi="Times New Roman"/>
          <w:b/>
          <w:sz w:val="20"/>
        </w:rPr>
        <w:t xml:space="preserve">About IQM Quantum Computers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(Nasdaq: IQMX) is a global leader in superconducting quantum computers, delivering full-stack quantum systems and cloud platform access to enterprises, research institutions, universities, high-performance computing centers, and national laboratories worldwide. IQM’s on-premises deployment model gives customers direct ownership and control of their quantum infrastructure. Founded in 2018 and headquartered in Finland, with major operations in Munich, IQM employs over 400 people and operates across Europe, Asia, and North America. IQM is the first publicly listed European quantum company on Nasdaq Stock Market.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431</Words>
  <Characters>2416</Characters>
  <CharactersWithSpaces>2869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