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4675-8k425_real.htm"/>
      <w:bookmarkStart w:id="1" w:name="ksea02946758k425_real"/>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firstLine="3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0_edei--DocumentType_c2026061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 the Securities Exchange Act of 1934</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June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A_edei--EntityRegistrantName_c2026"/>
      <w:bookmarkEnd w:id="4"/>
      <w:r>
        <w:rPr>
          <w:rFonts w:ascii="Times New Roman;Times;Serif" w:hAnsi="Times New Roman;Times;Serif"/>
          <w:b/>
          <w:i w:val="false"/>
          <w:caps w:val="false"/>
          <w:smallCaps w:val="false"/>
          <w:sz w:val="20"/>
        </w:rPr>
        <w:t>REAL ASSET ACQUISITION CORP.</w:t>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b/>
                <w:sz w:val="20"/>
              </w:rPr>
            </w:pPr>
            <w:bookmarkStart w:id="5" w:name="xdx_906_edei--EntityIncorporationStateCo"/>
            <w:bookmarkEnd w:id="5"/>
            <w:r>
              <w:rPr>
                <w:b/>
                <w:sz w:val="20"/>
              </w:rPr>
              <w:t>Cayman Islands</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8_edei--EntityFileNumber_c20260612"/>
            <w:bookmarkEnd w:id="6"/>
            <w:r>
              <w:rPr>
                <w:b/>
                <w:sz w:val="20"/>
              </w:rPr>
              <w:t>001-42613</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1_edei--EntityTaxIdentificationNum"/>
            <w:bookmarkEnd w:id="7"/>
            <w:r>
              <w:rPr>
                <w:b/>
                <w:sz w:val="20"/>
              </w:rPr>
              <w:t>N/A</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174 Nassau Street,</w:t>
        <w:br/>
      </w:r>
      <w:bookmarkStart w:id="9" w:name="xdx_909_edei--EntityAddressAddressLine2_"/>
      <w:bookmarkEnd w:id="9"/>
      <w:r>
        <w:rPr>
          <w:rFonts w:ascii="Times New Roman;Times;Serif" w:hAnsi="Times New Roman;Times;Serif"/>
          <w:b/>
          <w:i w:val="false"/>
          <w:caps w:val="false"/>
          <w:smallCaps w:val="false"/>
          <w:sz w:val="20"/>
        </w:rPr>
        <w:t>Suite 2100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Princeton, </w:t>
      </w:r>
      <w:bookmarkStart w:id="11" w:name="xdx_908_edei--EntityAddressStateOrProvin"/>
      <w:bookmarkEnd w:id="11"/>
      <w:r>
        <w:rPr>
          <w:rFonts w:ascii="Times New Roman;Times;Serif" w:hAnsi="Times New Roman;Times;Serif"/>
          <w:b/>
          <w:i w:val="false"/>
          <w:caps w:val="false"/>
          <w:smallCaps w:val="false"/>
          <w:sz w:val="20"/>
        </w:rPr>
        <w:t xml:space="preserve">New Jersey </w:t>
      </w:r>
      <w:bookmarkStart w:id="12" w:name="xdx_90E_edei--EntityAddressPostalZipCode"/>
      <w:bookmarkEnd w:id="12"/>
      <w:r>
        <w:rPr>
          <w:rFonts w:ascii="Times New Roman;Times;Serif" w:hAnsi="Times New Roman;Times;Serif"/>
          <w:b/>
          <w:i w:val="false"/>
          <w:caps w:val="false"/>
          <w:smallCaps w:val="false"/>
          <w:sz w:val="20"/>
        </w:rPr>
        <w:t>08542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4_edei--CityAreaCode_c20260612__20"/>
      <w:bookmarkEnd w:id="13"/>
      <w:r>
        <w:rPr>
          <w:rFonts w:ascii="Times New Roman;Times;Serif" w:hAnsi="Times New Roman;Times;Serif"/>
          <w:b/>
          <w:i w:val="false"/>
          <w:caps w:val="false"/>
          <w:smallCaps w:val="false"/>
          <w:sz w:val="20"/>
        </w:rPr>
        <w:t xml:space="preserve">609) </w:t>
      </w:r>
      <w:bookmarkStart w:id="14" w:name="xdx_905_edei--LocalPhoneNumber_c20260612"/>
      <w:bookmarkEnd w:id="14"/>
      <w:r>
        <w:rPr>
          <w:rFonts w:ascii="Times New Roman;Times;Serif" w:hAnsi="Times New Roman;Times;Serif"/>
          <w:b/>
          <w:i w:val="false"/>
          <w:caps w:val="false"/>
          <w:smallCaps w:val="false"/>
          <w:sz w:val="20"/>
        </w:rPr>
        <w:t>924-0759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1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2_edei--SolicitingMaterial_c202606"/>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0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B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450"/>
        <w:gridCol w:w="60"/>
        <w:gridCol w:w="1212"/>
        <w:gridCol w:w="60"/>
        <w:gridCol w:w="2423"/>
      </w:tblGrid>
      <w:tr>
        <w:trPr/>
        <w:tc>
          <w:tcPr>
            <w:tcW w:w="645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212"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423"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6450" w:type="dxa"/>
            <w:tcBorders/>
            <w:shd w:fill="CCEEFF" w:val="clear"/>
            <w:tcMar>
              <w:bottom w:w="0" w:type="dxa"/>
            </w:tcMar>
            <w:vAlign w:val="center"/>
          </w:tcPr>
          <w:p>
            <w:pPr>
              <w:pStyle w:val="TableContents"/>
              <w:bidi w:val="0"/>
              <w:spacing w:before="0" w:after="283"/>
              <w:jc w:val="center"/>
              <w:rPr>
                <w:sz w:val="20"/>
              </w:rPr>
            </w:pPr>
            <w:bookmarkStart w:id="19" w:name="xdx_909_edei--Security12bTitle_c20260612"/>
            <w:bookmarkEnd w:id="19"/>
            <w:r>
              <w:rPr>
                <w:sz w:val="20"/>
              </w:rPr>
              <w:t>Units, each consisting of one Class A ordinary share, $0.0001 par value, and one-half of one redeemable warrant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2" w:type="dxa"/>
            <w:tcBorders/>
            <w:shd w:fill="CCEEFF" w:val="clear"/>
            <w:tcMar>
              <w:bottom w:w="0" w:type="dxa"/>
            </w:tcMar>
            <w:vAlign w:val="center"/>
          </w:tcPr>
          <w:p>
            <w:pPr>
              <w:pStyle w:val="TableContents"/>
              <w:bidi w:val="0"/>
              <w:spacing w:before="0" w:after="283"/>
              <w:jc w:val="center"/>
              <w:rPr>
                <w:sz w:val="20"/>
              </w:rPr>
            </w:pPr>
            <w:bookmarkStart w:id="20" w:name="xdx_908_edei--TradingSymbol_c20260612__2"/>
            <w:bookmarkEnd w:id="20"/>
            <w:r>
              <w:rPr>
                <w:sz w:val="20"/>
              </w:rPr>
              <w:t>RAAQU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3"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1" w:name="xdx_900_edei--SecurityExchangeName_c2026"/>
            <w:bookmarkEnd w:id="21"/>
            <w:r>
              <w:rPr>
                <w:sz w:val="20"/>
              </w:rPr>
              <w:t>Nasdaq Stock Market LLC</w:t>
            </w:r>
          </w:p>
        </w:tc>
      </w:tr>
      <w:tr>
        <w:trPr/>
        <w:tc>
          <w:tcPr>
            <w:tcW w:w="6450" w:type="dxa"/>
            <w:tcBorders/>
            <w:shd w:fill="FFFFFF" w:val="clear"/>
            <w:tcMar>
              <w:bottom w:w="0" w:type="dxa"/>
            </w:tcMar>
            <w:vAlign w:val="center"/>
          </w:tcPr>
          <w:p>
            <w:pPr>
              <w:pStyle w:val="TableContents"/>
              <w:bidi w:val="0"/>
              <w:spacing w:before="0" w:after="283"/>
              <w:jc w:val="center"/>
              <w:rPr>
                <w:sz w:val="20"/>
              </w:rPr>
            </w:pPr>
            <w:bookmarkStart w:id="22" w:name="xdx_906_edei--Security12bTitle_c20260612"/>
            <w:bookmarkEnd w:id="22"/>
            <w:r>
              <w:rPr>
                <w:sz w:val="20"/>
              </w:rPr>
              <w:t>Class A ordinary shares, par value $0.0001 per share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2" w:type="dxa"/>
            <w:tcBorders/>
            <w:shd w:fill="FFFFFF" w:val="clear"/>
            <w:tcMar>
              <w:bottom w:w="0" w:type="dxa"/>
            </w:tcMar>
            <w:vAlign w:val="center"/>
          </w:tcPr>
          <w:p>
            <w:pPr>
              <w:pStyle w:val="TableContents"/>
              <w:bidi w:val="0"/>
              <w:spacing w:before="0" w:after="283"/>
              <w:jc w:val="center"/>
              <w:rPr>
                <w:sz w:val="20"/>
              </w:rPr>
            </w:pPr>
            <w:bookmarkStart w:id="23" w:name="xdx_909_edei--TradingSymbol_c20260612__2"/>
            <w:bookmarkEnd w:id="23"/>
            <w:r>
              <w:rPr>
                <w:sz w:val="20"/>
              </w:rPr>
              <w:t>RAAQ</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3"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4" w:name="xdx_90C_edei--SecurityExchangeName_c2026"/>
            <w:bookmarkEnd w:id="24"/>
            <w:r>
              <w:rPr>
                <w:sz w:val="20"/>
              </w:rPr>
              <w:t>Nasdaq Stock Market LLC</w:t>
            </w:r>
          </w:p>
        </w:tc>
      </w:tr>
      <w:tr>
        <w:trPr/>
        <w:tc>
          <w:tcPr>
            <w:tcW w:w="6450" w:type="dxa"/>
            <w:tcBorders/>
            <w:shd w:fill="CCEEFF" w:val="clear"/>
            <w:tcMar>
              <w:bottom w:w="0" w:type="dxa"/>
            </w:tcMar>
            <w:vAlign w:val="center"/>
          </w:tcPr>
          <w:p>
            <w:pPr>
              <w:pStyle w:val="TableContents"/>
              <w:bidi w:val="0"/>
              <w:spacing w:before="0" w:after="283"/>
              <w:jc w:val="center"/>
              <w:rPr>
                <w:sz w:val="20"/>
              </w:rPr>
            </w:pPr>
            <w:bookmarkStart w:id="25" w:name="xdx_901_edei--Security12bTitle_c20260612"/>
            <w:bookmarkEnd w:id="25"/>
            <w:r>
              <w:rPr>
                <w:sz w:val="20"/>
              </w:rPr>
              <w:t>Redeemable warrants, each whole redeemable warrant exercisable for one Class A ordinary share at an exercise price of $11.50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2" w:type="dxa"/>
            <w:tcBorders/>
            <w:shd w:fill="CCEEFF" w:val="clear"/>
            <w:tcMar>
              <w:bottom w:w="0" w:type="dxa"/>
            </w:tcMar>
            <w:vAlign w:val="center"/>
          </w:tcPr>
          <w:p>
            <w:pPr>
              <w:pStyle w:val="TableContents"/>
              <w:bidi w:val="0"/>
              <w:spacing w:before="0" w:after="283"/>
              <w:jc w:val="center"/>
              <w:rPr>
                <w:sz w:val="20"/>
              </w:rPr>
            </w:pPr>
            <w:bookmarkStart w:id="26" w:name="xdx_90B_edei--TradingSymbol_c20260612__2"/>
            <w:bookmarkEnd w:id="26"/>
            <w:r>
              <w:rPr>
                <w:sz w:val="20"/>
              </w:rPr>
              <w:t>RAAQW</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3"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7" w:name="xdx_900_edei--SecurityExchangeName_c2026"/>
            <w:bookmarkEnd w:id="27"/>
            <w:r>
              <w:rPr>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8" w:name="xdx_90D_edei--EntityEmergingGrowthCompan"/>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9" w:name="xdx_903_edei--EntityExTransitionPeriod_c"/>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February 22, 2026, Real Asset Acquisition Corp., a Cayman Islands exempted company (“RAAQ”), IQM Finland Oy, a limited liability company (Fi. osakeyhtiö) incorporated under the laws of Finland (“IQM”), IQM US LLC, a Delaware limited liability company and an indirect wholly owned subsidiary of IQM, and Eclipse QC S.à r.l., a Luxembourg private limited liability company (société à responsabilité limitée) and a direct wholly owned subsidiary of IQM, entered into a business combination agreement (the “Business Combination Agreement”), for a business combination transaction that will result in IQM becoming a publicly traded company (the “Transaction”).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IQM issued a press release (the “Press Release”) announcing, among other things, the appointment of Barbara Venneman to IQM’s Board of Directors. A copy of the Press Release is filed herewith as Exhibit 99.1 and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Proposed Transaction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was declared effective by the SEC on June 5, 2026 and RAAQ mailed the definitive proxy statement/prospectus relating to the proposed Transaction to its shareholders as of June 3, 2026, the record date for voting at the extraordinary general meeting of RAAQ’s shareholders to be held in connection with the Transaction (the “Extraordinary General Meeting”). The Registration Statement and the definitive proxy statement/prospectus contain important information about the Transaction and the other matters to be voted upon at the Extraordinary General Meeting. This Current Report on Form 8-K (this “Current Report”) does not contain all the information that should be considered concerning the proposed business combination and is not intended to provide the basis for any investment decision or any other decision in respect of such matters. RAAQ and IQM may also file other documents with the SEC regarding the Transaction. RAAQ’s shareholders and other interested persons are advised to read the Registration Statement, the definitive proxy statement/prospectus and other documents filed in connection with the Transaction, as these materials contain important information about RAAQ, IQM and the Transaction. Shareholders may obtain copies of the Registration Statement, the definitive proxy statement/prospectus, and the other documents filed or that will be filed by RAAQ and IQM with the SEC, without charge, at the SEC’s website located at 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RAAQ, IQM and certain of their respective directors, executive officers and other members of management and employees may, under SEC rules, be deemed to be participants in the solicitation of proxies from RAAQ’s shareholders in connection with the Transaction. Information regarding the persons who may, under SEC rules, be deemed participants in the solicitation of RAAQ’s shareholders in connection with the Transaction are set forth in the Registration Statement and the definitive proxy statement/prospectus filed with the SEC. Shareholders, potential investors, and other interested persons should read the Registration Statement and the definitive proxy statement/prospectus carefully before making any voting or investment decisions. You may obtain free copies of these documents from the sources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includes “forward-looking statements” within the meaning of the U.S. federal securities laws and “forward-looking information” within the meaning of applicable non-U.S. securities laws (collectively, “forward-looking statements”). Forward-looking statements may be identified by the use of words such as “estimate,” “plan,” “project,” “forecast,” “intend,” “will,” “expect,” “anticipate,” “believe,” “seek,” “target,” “continue,” “could,” “may,” “might,” “possible,” “potential,” “predict” or similar expressions that predict or indicate future events or trends or that are not statements of historical matters. These forward-looking statements are based upon current estimates and assumptions that, while considered reasonable by IQM and its management, and RAAQ and its management, as the case may be, are inherently uncertain. These statements include: projections of market opportunity and market share; estimates of customer adoption rates and usage patterns; projections regarding IQM’s ability to commercialize new products and technologies; projections of development and commercialization costs and timelines; expectations regarding IQM’s ability to execute its business model and the expected financial benefits of such model; expectations regarding IQM’s ability to attract, retain and expand its customer base; IQM’s deployment of proceeds from capital raising transactions; IQM’s expectations concerning relationships with strategic partners, suppliers, governments, state-funded entities, regulatory bodies and other third parties; IQM’s ability to maintain, protect and enhance its intellectual property; future ventures or investments in companies, products, services or technologies; development of favorable regulations affecting IQM’s markets; the successful consummation and potential benefits of the proposed business combination and expectations related to its terms and timing; the stock exchanges on which the securities of the combined company are expected to trade; proceeds from the business combination and related PIPE; funds received by the combined company from RAAQ’s trust account and redemptions by RAAQ’s public shareholders; IQM’s ability to commercialize its hardware and software; the expectation that IQM is building the sovereign infrastructure that allows quantum ecosystems to grow; and the potential for IQM to increase in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IQM and RAAQ.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subject to known and unknown risks, uncertainties and assumptions that may cause the actual results of the combined company following the proposed Transaction, levels of activity, performance, or achievements to be materially different from any future results, levels of activity, performance or achievements expressed or implied by such statements. Such risks and uncertainties include: that IQM is pursuing an emerging technology, which faces significant technical challenges and may not achieve commercialization or market acceptance; IQM’s historical net losses and limited operating history; IQM’s expectations regarding future financial performance, capital requirements and unit economics; IQM’s use and reporting of business and operational metrics; IQM’s competitive landscape; IQM’s dependence on members of its senior management and its ability to attract and retain qualified personnel; the potential need for additional future financing; IQM’s concentration of revenue in contracts with government or state-funded entities; IQM’s ability to manage growth and expand its operations; potential future acquisitions or investments in companies, products, services or technologies; IQM’s reliance on strategic partners and other third parties; IQM’s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the combined company’s ability to maintain internal control over financial reporting and operate a public company; the possibility that required shareholder and regulatory approvals for the proposed Transaction are delayed or are not obtained, which could adversely affect the combined company or the expected benefits of the proposed Transaction; the risk that shareholders of RAAQ could elect to have their shares redeemed, leaving the combined company with insufficient cash to execute its business plans; the occurrence of any event, change or other circumstance that could give rise to the termination of the Business Combination Agreement; the outcome of any legal proceedings or government investigations that may be commenced against IQM or RAAQ; failure to realize the anticipated benefits of the proposed Transaction; the ability of IQM or the combined company to issue equity or equity-linked securities in connection with the proposed Transaction or in the future; and other factors described in the Registration Statement and RAAQ’s and IQM’s other filings with the SEC. These forward-looking statements are based on certain assumptions, including that none of the risks identified above materialize; that there are no unforeseen changes to economic and market conditions, and that no significant events occur outside the ordinary course of business. Additional information concerning these and other factors that may impact such forward-looking statements can be found in filings and potential filings by IQM, RAAQ or the combined company resulting from the proposed Transaction with the SEC,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IQM’s and RAAQ’s management as of the date of this Current Report; subsequent events and developments may cause their assessments to change. While IQM and RAAQ may elect to update these forward-looking statements at some point in the future, they specifically disclaim any obligation to do so, unless required by applicable securities laws. Accordingly, undue reliance should not be placed upon these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Current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An investment in RAAQ is not an investment in any of RAAQ’s founders’ or sponsors past investments, companies, or affiliated funds. The historical results of those investments are not indicative of future performance of RAAQ, which may differ materially from the performance of RAAQ’s founders’ or sponsors past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including any European Economic Area member state or the United Kingdom. This Current Report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of 1933, as amended, or exemptions therefrom. Any potential dual listing of IQM’s ordinary shares on the Helsinki stock exchange referred to in this Current Report would be made by means of a prospectus as set out in the EU Prospectus Regulation.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28" w:type="dxa"/>
          <w:right w:w="0" w:type="dxa"/>
        </w:tblCellMar>
      </w:tblPr>
      <w:tblGrid>
        <w:gridCol w:w="725"/>
        <w:gridCol w:w="60"/>
        <w:gridCol w:w="6530"/>
      </w:tblGrid>
      <w:tr>
        <w:trPr/>
        <w:tc>
          <w:tcPr>
            <w:tcW w:w="725" w:type="dxa"/>
            <w:tcBorders>
              <w:bottom w:val="single" w:sz="12" w:space="0" w:color="000000"/>
            </w:tcBorders>
            <w:vAlign w:val="center"/>
          </w:tcPr>
          <w:p>
            <w:pPr>
              <w:pStyle w:val="TableContents"/>
              <w:bidi w:val="0"/>
              <w:spacing w:before="0" w:after="283"/>
              <w:jc w:val="left"/>
              <w:rPr>
                <w:b/>
                <w:sz w:val="20"/>
              </w:rPr>
            </w:pPr>
            <w:r>
              <w:rPr>
                <w:b/>
                <w:sz w:val="20"/>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6530"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72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530" w:type="dxa"/>
            <w:tcBorders/>
            <w:shd w:fill="CCEEFF" w:val="clear"/>
            <w:tcMar>
              <w:bottom w:w="0" w:type="dxa"/>
            </w:tcMar>
            <w:vAlign w:val="center"/>
          </w:tcPr>
          <w:p>
            <w:pPr>
              <w:pStyle w:val="TableContents"/>
              <w:bidi w:val="0"/>
              <w:spacing w:before="0" w:after="283"/>
              <w:jc w:val="left"/>
              <w:rPr/>
            </w:pPr>
            <w:hyperlink w:anchor="ea029467501ex99-1.htm">
              <w:r>
                <w:rPr>
                  <w:rStyle w:val="InternetLink"/>
                  <w:sz w:val="20"/>
                </w:rPr>
                <w:t>Press Release, dated June 12, 2026.</w:t>
              </w:r>
            </w:hyperlink>
          </w:p>
        </w:tc>
      </w:tr>
      <w:tr>
        <w:trPr/>
        <w:tc>
          <w:tcPr>
            <w:tcW w:w="72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6530"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395" w:type="dxa"/>
        <w:jc w:val="left"/>
        <w:tblInd w:w="0" w:type="dxa"/>
        <w:tblLayout w:type="fixed"/>
        <w:tblCellMar>
          <w:top w:w="0" w:type="dxa"/>
          <w:left w:w="0" w:type="dxa"/>
          <w:bottom w:w="0" w:type="dxa"/>
          <w:right w:w="0" w:type="dxa"/>
        </w:tblCellMar>
      </w:tblPr>
      <w:tblGrid>
        <w:gridCol w:w="1760"/>
        <w:gridCol w:w="320"/>
        <w:gridCol w:w="590"/>
        <w:gridCol w:w="3725"/>
      </w:tblGrid>
      <w:tr>
        <w:trPr/>
        <w:tc>
          <w:tcPr>
            <w:tcW w:w="1760" w:type="dxa"/>
            <w:tcBorders/>
            <w:vAlign w:val="center"/>
          </w:tcPr>
          <w:p>
            <w:pPr>
              <w:pStyle w:val="TableContents"/>
              <w:bidi w:val="0"/>
              <w:spacing w:before="0" w:after="283"/>
              <w:jc w:val="left"/>
              <w:rPr>
                <w:sz w:val="20"/>
              </w:rPr>
            </w:pPr>
            <w:r>
              <w:rPr>
                <w:sz w:val="20"/>
              </w:rPr>
              <w:t>Dated: June 12, 2026</w:t>
            </w:r>
          </w:p>
        </w:tc>
        <w:tc>
          <w:tcPr>
            <w:tcW w:w="4635" w:type="dxa"/>
            <w:gridSpan w:val="3"/>
            <w:tcBorders/>
            <w:vAlign w:val="center"/>
          </w:tcPr>
          <w:p>
            <w:pPr>
              <w:pStyle w:val="TableContents"/>
              <w:bidi w:val="0"/>
              <w:spacing w:before="0" w:after="283"/>
              <w:jc w:val="left"/>
              <w:rPr>
                <w:b/>
                <w:sz w:val="20"/>
              </w:rPr>
            </w:pPr>
            <w:r>
              <w:rPr>
                <w:b/>
                <w:sz w:val="20"/>
              </w:rPr>
              <w:t>REAL ASSET ACQUISITION CORP.</w:t>
            </w:r>
          </w:p>
        </w:tc>
      </w:tr>
      <w:tr>
        <w:trPr/>
        <w:tc>
          <w:tcPr>
            <w:tcW w:w="1760" w:type="dxa"/>
            <w:tcBorders/>
            <w:vAlign w:val="center"/>
          </w:tcPr>
          <w:p>
            <w:pPr>
              <w:pStyle w:val="TableContents"/>
              <w:bidi w:val="0"/>
              <w:spacing w:before="0" w:after="283"/>
              <w:jc w:val="left"/>
              <w:rPr/>
            </w:pPr>
            <w:r>
              <w:rPr/>
              <w:t> </w:t>
            </w:r>
          </w:p>
        </w:tc>
        <w:tc>
          <w:tcPr>
            <w:tcW w:w="4635" w:type="dxa"/>
            <w:gridSpan w:val="3"/>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31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Peter Ort</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725" w:type="dxa"/>
            <w:tcBorders/>
            <w:vAlign w:val="center"/>
          </w:tcPr>
          <w:p>
            <w:pPr>
              <w:pStyle w:val="TableContents"/>
              <w:bidi w:val="0"/>
              <w:spacing w:before="0" w:after="283"/>
              <w:jc w:val="left"/>
              <w:rPr>
                <w:sz w:val="20"/>
              </w:rPr>
            </w:pPr>
            <w:r>
              <w:rPr>
                <w:sz w:val="20"/>
              </w:rPr>
              <w:t>Peter Ort</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3725" w:type="dxa"/>
            <w:tcBorders/>
            <w:vAlign w:val="center"/>
          </w:tcPr>
          <w:p>
            <w:pPr>
              <w:pStyle w:val="TableContents"/>
              <w:bidi w:val="0"/>
              <w:spacing w:before="0" w:after="283"/>
              <w:jc w:val="left"/>
              <w:rPr>
                <w:sz w:val="20"/>
              </w:rPr>
            </w:pPr>
            <w:r>
              <w:rPr>
                <w:sz w:val="20"/>
              </w:rPr>
              <w:t>Principal Executive Officer and Co-Chairman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0" w:name="ea029467501ex99-1.htm"/>
      <w:bookmarkStart w:id="31" w:name="ksea029467501ex991"/>
      <w:bookmarkEnd w:id="30"/>
      <w:bookmarkEnd w:id="31"/>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IQM Appoints Barbara Venneman, Vanguard Board Director and Former Global Head of Deloitte Digital, to its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Venneman brings more than 30 years of digital transformation, AI, and enterprise technology experience as IQM prepares for its planned Nasdaq listing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ESPOO, Finland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(BUSINESS WIRE)</w:t>
      </w:r>
      <w:r>
        <w:rPr>
          <w:rFonts w:ascii="Times New Roman;Times;Serif" w:hAnsi="Times New Roman;Times;Serif"/>
          <w:b w:val="false"/>
          <w:i w:val="false"/>
          <w:caps w:val="false"/>
          <w:smallCaps w:val="false"/>
          <w:sz w:val="20"/>
        </w:rPr>
        <w:t xml:space="preserve"> – IQM Quantum Computers, the global leader in superconducting quantum computers, today announced the appointment of Barbara Venneman to its Board of Directors. Venneman deepens the Board’s expertise in digital transformation, enterprise technology commercialization, and global business scaling as IQM expands its commercial footprint worldwide. Additionally, CEO and Co-founder Jan Goetz will replace Co-founder Juha Vartiainen as the Founder representative on the IQM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Venneman joins the IQM Board of Directors following a distinguished career at the intersection of advanced technology, strategy, and business transformation. She most recently served as Global Head of Deloitte Digital and previously held senior global leadership roles, including Global Chief Growth Officer and Global Marketing, Sales &amp; Service Leader. She has also cultivated strategic partnerships across leading technology companies and innovation ecosystems, accelerating growth and the adoption of emerging technologies. With more than three decades of experience advising global enterprises on technology-enabled transformation, Ms. Venneman brings deep expertise in digital innovation, go-to-market strategy, ecosystem development, and scaling technology adoption worldwide.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Barbara’s track record of scaling global technology businesses and guiding enterprises through transformative change makes her an exceptional addition to our Board as we prepare to enter the public markets and scale our commercial presence in the U.S. and globally,” said Sierk Poetting, Chairman of IQM’s Board of Directors. “As we accelerate our path toward fault-tolerant quantum computing, her experience in enterprise technology commercialization, AI, and governance will be invaluable. I also want to thank Juha for his dedication and contribution as Founder representative on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IQM builds quantum computers from the ground up, owning the full stack from chip design and fabrication through system assembly, software, and cloud platform. This vertical integration gives IQM direct control over its innovation cycles and lets customers choose how they deploy: on-premises with full ownership of the infrastructure, or via cloud access. The result is an open-architecture platform designed to accelerate quantum adoption and help enterprise and research ecosystems form around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IQM has established itself as a leader in the emerging quantum computing market through a combination of technological excellence, customer focus, and execution. What attracted me to the company is its commitment to building a scalable and accessible quantum ecosystem that aligns with the needs of enterprises today while preparing them for the opportunities of tomorrow. As quantum computing moves from research to real-world application, IQM is exceptionally well positioned to create lasting value for customers, shareholders, and society. I look forward to supporting the company’s continued growth and strategic ambitions,” said Barbara Venneman.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Venneman currently serves as a member of the board of advisors of Decagon.AI, an enterprise AI software company, and as a member of the board of directors of Vanguard, one of the world’s largest investment management companies. She previously served on the board of directors of Reality Changers, a nonprofit organization dedicated to helping first-generation students succeed in higher education. Ms. Venneman holds a Master of Business Administration degree from McGill University and a Bachelor of Science degree in Computer Science from the Université de Montréal.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IQM recently announced increased commitments to its PIPE, driven by upsized investor demand ahead of its planned Nasdaq listing through a merger with Real Asset Acquisition Corp. (Nasdaq: RAAQ). The registration statement on Form F-4 relating to the business combination has been declared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IQM Quantum Computers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IQM Quantum Computers is a global leader in superconducting quantum computers, delivering full-stack quantum computers and cloud platform access to research institutions, universities, high-performance computing centers, national laboratories and enterprises worldwide. IQM’s on-premises deployment model gives customers direct ownership and control of their quantum infrastructure. Founded in 2018, headquartered in Finland with major operations in Munich, it has over 400 employees. IQM operates across Europe, Asia, and North America. IQM filed an F-4 registration statement with the SEC, which has since been declared effective, with the intention to become the first publicly listed European quantum company on Nasdaq Global Exchange in the U.S. by merging with Real Asset Acquisition Corp. (Nasdaq: RAAQ).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Bruce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 Manager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press@iqm.tech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Blair Robertson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VP, Strategy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ir@iqm.tech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2991</Words>
  <Characters>17542</Characters>
  <CharactersWithSpaces>20526</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